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EA0A47">
      <w:pPr>
        <w:jc w:val="center"/>
        <w:rPr>
          <w:rFonts w:hint="eastAsia"/>
          <w:b/>
          <w:bCs/>
          <w:sz w:val="30"/>
          <w:szCs w:val="30"/>
          <w:lang w:val="en-US" w:eastAsia="zh-CN"/>
        </w:rPr>
      </w:pPr>
      <w:r>
        <w:rPr>
          <w:rFonts w:hint="eastAsia"/>
          <w:b/>
          <w:bCs/>
          <w:sz w:val="30"/>
          <w:szCs w:val="30"/>
          <w:lang w:eastAsia="zh-CN"/>
        </w:rPr>
        <w:t>南通市疾病预防控制中心低流量个体采样泵、中流量采样泵、高流量采样泵及风量罩采购项目</w:t>
      </w:r>
      <w:r>
        <w:rPr>
          <w:rFonts w:hint="eastAsia"/>
          <w:b/>
          <w:bCs/>
          <w:sz w:val="30"/>
          <w:szCs w:val="30"/>
          <w:lang w:val="en-US" w:eastAsia="zh-CN"/>
        </w:rPr>
        <w:t>需求</w:t>
      </w:r>
    </w:p>
    <w:p w14:paraId="0E0906B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一、技术参数</w:t>
      </w:r>
    </w:p>
    <w:p w14:paraId="412CBEC7">
      <w:pPr>
        <w:widowControl w:val="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标段一：低流量个体采样泵（20台）</w:t>
      </w:r>
    </w:p>
    <w:p w14:paraId="417DA654">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b w:val="0"/>
          <w:bCs/>
          <w:sz w:val="24"/>
          <w:szCs w:val="24"/>
        </w:rPr>
        <w:t>★</w:t>
      </w:r>
      <w:r>
        <w:rPr>
          <w:rFonts w:hint="eastAsia" w:ascii="宋体" w:hAnsi="宋体" w:eastAsia="宋体" w:cs="宋体"/>
          <w:sz w:val="24"/>
          <w:szCs w:val="24"/>
          <w:highlight w:val="none"/>
          <w:lang w:val="en-US" w:eastAsia="zh-CN"/>
        </w:rPr>
        <w:t>1.</w:t>
      </w:r>
      <w:r>
        <w:rPr>
          <w:rFonts w:ascii="宋体" w:hAnsi="宋体" w:eastAsia="宋体" w:cs="宋体"/>
          <w:sz w:val="24"/>
          <w:szCs w:val="24"/>
        </w:rPr>
        <w:t>流量范围(毫升/分钟)：20-500ml/min</w:t>
      </w:r>
      <w:r>
        <w:rPr>
          <w:rFonts w:hint="eastAsia" w:ascii="宋体" w:hAnsi="宋体" w:eastAsia="宋体" w:cs="宋体"/>
          <w:sz w:val="24"/>
          <w:szCs w:val="24"/>
          <w:lang w:eastAsia="zh-CN"/>
        </w:rPr>
        <w:t>，不超过</w:t>
      </w:r>
      <w:r>
        <w:rPr>
          <w:rFonts w:ascii="宋体" w:hAnsi="宋体" w:eastAsia="宋体" w:cs="宋体"/>
          <w:sz w:val="24"/>
          <w:szCs w:val="24"/>
        </w:rPr>
        <w:t>500ml/min</w:t>
      </w:r>
      <w:r>
        <w:rPr>
          <w:rFonts w:hint="eastAsia" w:ascii="宋体" w:hAnsi="宋体" w:eastAsia="宋体" w:cs="宋体"/>
          <w:sz w:val="24"/>
          <w:szCs w:val="24"/>
          <w:highlight w:val="none"/>
          <w:lang w:val="en-US" w:eastAsia="zh-CN"/>
        </w:rPr>
        <w:t>；</w:t>
      </w:r>
    </w:p>
    <w:p w14:paraId="7DAEC205">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b w:val="0"/>
          <w:bCs/>
          <w:sz w:val="24"/>
          <w:szCs w:val="24"/>
        </w:rPr>
        <w:t>★</w:t>
      </w:r>
      <w:r>
        <w:rPr>
          <w:rFonts w:hint="eastAsia" w:ascii="宋体" w:hAnsi="宋体" w:eastAsia="宋体" w:cs="宋体"/>
          <w:sz w:val="24"/>
          <w:szCs w:val="24"/>
          <w:highlight w:val="none"/>
          <w:lang w:val="en-US" w:eastAsia="zh-CN"/>
        </w:rPr>
        <w:t>2.</w:t>
      </w:r>
      <w:r>
        <w:rPr>
          <w:rFonts w:ascii="宋体" w:hAnsi="宋体" w:eastAsia="宋体" w:cs="宋体"/>
          <w:sz w:val="24"/>
          <w:szCs w:val="24"/>
        </w:rPr>
        <w:t>流动</w:t>
      </w:r>
      <w:r>
        <w:rPr>
          <w:rFonts w:hint="eastAsia" w:ascii="宋体" w:hAnsi="宋体" w:eastAsia="宋体" w:cs="宋体"/>
          <w:sz w:val="24"/>
          <w:szCs w:val="24"/>
          <w:lang w:eastAsia="zh-CN"/>
        </w:rPr>
        <w:t>示值误差：</w:t>
      </w:r>
      <w:r>
        <w:rPr>
          <w:rFonts w:ascii="宋体" w:hAnsi="宋体" w:eastAsia="宋体" w:cs="宋体"/>
          <w:sz w:val="24"/>
          <w:szCs w:val="24"/>
        </w:rPr>
        <w:t>小于校准点流量的±5%</w:t>
      </w:r>
      <w:r>
        <w:rPr>
          <w:rFonts w:hint="eastAsia" w:ascii="宋体" w:hAnsi="宋体" w:eastAsia="宋体" w:cs="宋体"/>
          <w:sz w:val="24"/>
          <w:szCs w:val="24"/>
          <w:lang w:eastAsia="zh-CN"/>
        </w:rPr>
        <w:t>；</w:t>
      </w:r>
      <w:r>
        <w:rPr>
          <w:rFonts w:ascii="宋体" w:hAnsi="宋体" w:eastAsia="宋体" w:cs="宋体"/>
          <w:sz w:val="24"/>
          <w:szCs w:val="24"/>
        </w:rPr>
        <w:t>流量偏差超过设定流量±5%时自动停止采样</w:t>
      </w:r>
      <w:r>
        <w:rPr>
          <w:rFonts w:hint="eastAsia" w:ascii="宋体" w:hAnsi="宋体" w:eastAsia="宋体" w:cs="宋体"/>
          <w:sz w:val="24"/>
          <w:szCs w:val="24"/>
          <w:highlight w:val="none"/>
          <w:lang w:val="en-US" w:eastAsia="zh-CN"/>
        </w:rPr>
        <w:t>；</w:t>
      </w:r>
    </w:p>
    <w:p w14:paraId="7A98E15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r>
        <w:rPr>
          <w:rFonts w:ascii="宋体" w:hAnsi="宋体" w:eastAsia="宋体" w:cs="宋体"/>
          <w:sz w:val="24"/>
          <w:szCs w:val="24"/>
        </w:rPr>
        <w:t>显示</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具备</w:t>
      </w:r>
      <w:r>
        <w:rPr>
          <w:rFonts w:ascii="宋体" w:hAnsi="宋体" w:eastAsia="宋体" w:cs="宋体"/>
          <w:sz w:val="24"/>
          <w:szCs w:val="24"/>
        </w:rPr>
        <w:t>色码标识的全彩OLED显示屏和高警示灯</w:t>
      </w:r>
      <w:r>
        <w:rPr>
          <w:rFonts w:hint="eastAsia" w:ascii="宋体" w:hAnsi="宋体" w:eastAsia="宋体" w:cs="宋体"/>
          <w:sz w:val="24"/>
          <w:szCs w:val="24"/>
          <w:highlight w:val="none"/>
          <w:lang w:val="en-US" w:eastAsia="zh-CN"/>
        </w:rPr>
        <w:t>；</w:t>
      </w:r>
    </w:p>
    <w:p w14:paraId="7BF3627A">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b w:val="0"/>
          <w:bCs/>
          <w:sz w:val="24"/>
          <w:szCs w:val="24"/>
        </w:rPr>
        <w:t>★</w:t>
      </w:r>
      <w:r>
        <w:rPr>
          <w:rFonts w:hint="eastAsia" w:ascii="宋体" w:hAnsi="宋体" w:eastAsia="宋体" w:cs="宋体"/>
          <w:sz w:val="24"/>
          <w:szCs w:val="24"/>
          <w:highlight w:val="none"/>
          <w:lang w:val="en-US" w:eastAsia="zh-CN"/>
        </w:rPr>
        <w:t>4.</w:t>
      </w:r>
      <w:r>
        <w:rPr>
          <w:rFonts w:ascii="宋体" w:hAnsi="宋体" w:eastAsia="宋体" w:cs="宋体"/>
          <w:sz w:val="24"/>
          <w:szCs w:val="24"/>
        </w:rPr>
        <w:t>语言</w:t>
      </w:r>
      <w:r>
        <w:rPr>
          <w:rFonts w:hint="eastAsia" w:ascii="宋体" w:hAnsi="宋体" w:eastAsia="宋体" w:cs="宋体"/>
          <w:sz w:val="24"/>
          <w:szCs w:val="24"/>
          <w:lang w:eastAsia="zh-CN"/>
        </w:rPr>
        <w:t>：</w:t>
      </w:r>
      <w:r>
        <w:rPr>
          <w:rFonts w:ascii="宋体" w:hAnsi="宋体" w:eastAsia="宋体" w:cs="宋体"/>
          <w:sz w:val="24"/>
          <w:szCs w:val="24"/>
        </w:rPr>
        <w:t>支持中文</w:t>
      </w:r>
      <w:r>
        <w:rPr>
          <w:rFonts w:hint="eastAsia" w:ascii="宋体" w:hAnsi="宋体" w:eastAsia="宋体" w:cs="宋体"/>
          <w:sz w:val="24"/>
          <w:szCs w:val="24"/>
          <w:highlight w:val="none"/>
          <w:lang w:val="en-US" w:eastAsia="zh-CN"/>
        </w:rPr>
        <w:t>；</w:t>
      </w:r>
    </w:p>
    <w:p w14:paraId="66AF7B8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b w:val="0"/>
          <w:bCs/>
          <w:sz w:val="24"/>
          <w:szCs w:val="24"/>
        </w:rPr>
        <w:t>★</w:t>
      </w:r>
      <w:r>
        <w:rPr>
          <w:rFonts w:hint="eastAsia" w:ascii="宋体" w:hAnsi="宋体" w:eastAsia="宋体" w:cs="宋体"/>
          <w:sz w:val="24"/>
          <w:szCs w:val="24"/>
          <w:highlight w:val="none"/>
          <w:lang w:val="en-US" w:eastAsia="zh-CN"/>
        </w:rPr>
        <w:t>5.</w:t>
      </w:r>
      <w:r>
        <w:rPr>
          <w:rFonts w:ascii="宋体" w:hAnsi="宋体" w:eastAsia="宋体" w:cs="宋体"/>
          <w:sz w:val="24"/>
          <w:szCs w:val="24"/>
        </w:rPr>
        <w:t>无线控制</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具备</w:t>
      </w:r>
      <w:r>
        <w:rPr>
          <w:rFonts w:ascii="宋体" w:hAnsi="宋体" w:eastAsia="宋体" w:cs="宋体"/>
          <w:sz w:val="24"/>
          <w:szCs w:val="24"/>
        </w:rPr>
        <w:t>蓝牙®4.0低功耗无线连接，提供无线电发射设备型号核准证</w:t>
      </w:r>
      <w:r>
        <w:rPr>
          <w:rFonts w:hint="eastAsia" w:ascii="宋体" w:hAnsi="宋体" w:eastAsia="宋体" w:cs="宋体"/>
          <w:sz w:val="24"/>
          <w:szCs w:val="24"/>
          <w:highlight w:val="none"/>
          <w:lang w:val="en-US" w:eastAsia="zh-CN"/>
        </w:rPr>
        <w:t>；</w:t>
      </w:r>
    </w:p>
    <w:p w14:paraId="780295F8">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r>
        <w:rPr>
          <w:rFonts w:ascii="宋体" w:hAnsi="宋体" w:eastAsia="宋体" w:cs="宋体"/>
          <w:sz w:val="24"/>
          <w:szCs w:val="24"/>
        </w:rPr>
        <w:t>远程软件</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可</w:t>
      </w:r>
      <w:r>
        <w:rPr>
          <w:rFonts w:ascii="宋体" w:hAnsi="宋体" w:eastAsia="宋体" w:cs="宋体"/>
          <w:sz w:val="24"/>
          <w:szCs w:val="24"/>
        </w:rPr>
        <w:t>用于移动设备如手机和平板电脑的产品专业App程序</w:t>
      </w:r>
      <w:r>
        <w:rPr>
          <w:rFonts w:hint="eastAsia" w:ascii="宋体" w:hAnsi="宋体" w:eastAsia="宋体" w:cs="宋体"/>
          <w:sz w:val="24"/>
          <w:szCs w:val="24"/>
          <w:highlight w:val="none"/>
          <w:lang w:val="en-US" w:eastAsia="zh-CN"/>
        </w:rPr>
        <w:t>；</w:t>
      </w:r>
    </w:p>
    <w:p w14:paraId="65C3C704">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b w:val="0"/>
          <w:bCs/>
          <w:sz w:val="24"/>
          <w:szCs w:val="24"/>
        </w:rPr>
        <w:t>★</w:t>
      </w:r>
      <w:r>
        <w:rPr>
          <w:rFonts w:hint="eastAsia" w:ascii="宋体" w:hAnsi="宋体" w:eastAsia="宋体" w:cs="宋体"/>
          <w:sz w:val="24"/>
          <w:szCs w:val="24"/>
          <w:highlight w:val="none"/>
          <w:lang w:val="en-US" w:eastAsia="zh-CN"/>
        </w:rPr>
        <w:t>7.</w:t>
      </w:r>
      <w:r>
        <w:rPr>
          <w:rFonts w:ascii="宋体" w:hAnsi="宋体" w:eastAsia="宋体" w:cs="宋体"/>
          <w:sz w:val="24"/>
          <w:szCs w:val="24"/>
        </w:rPr>
        <w:t>运动感知功能</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具备</w:t>
      </w:r>
      <w:r>
        <w:rPr>
          <w:rFonts w:ascii="宋体" w:hAnsi="宋体" w:eastAsia="宋体" w:cs="宋体"/>
          <w:sz w:val="24"/>
          <w:szCs w:val="24"/>
        </w:rPr>
        <w:t>运动传感器，</w:t>
      </w:r>
      <w:r>
        <w:rPr>
          <w:rFonts w:hint="eastAsia" w:ascii="宋体" w:hAnsi="宋体" w:eastAsia="宋体" w:cs="宋体"/>
          <w:sz w:val="24"/>
          <w:szCs w:val="24"/>
          <w:lang w:val="en-US" w:eastAsia="zh-CN"/>
        </w:rPr>
        <w:t>可</w:t>
      </w:r>
      <w:r>
        <w:rPr>
          <w:rFonts w:ascii="宋体" w:hAnsi="宋体" w:eastAsia="宋体" w:cs="宋体"/>
          <w:sz w:val="24"/>
          <w:szCs w:val="24"/>
        </w:rPr>
        <w:t>判断采样泵是否被佩戴以及佩戴效果评估</w:t>
      </w:r>
      <w:r>
        <w:rPr>
          <w:rFonts w:hint="eastAsia" w:ascii="宋体" w:hAnsi="宋体" w:eastAsia="宋体" w:cs="宋体"/>
          <w:sz w:val="24"/>
          <w:szCs w:val="24"/>
          <w:highlight w:val="none"/>
          <w:lang w:val="en-US" w:eastAsia="zh-CN"/>
        </w:rPr>
        <w:t>；</w:t>
      </w:r>
    </w:p>
    <w:p w14:paraId="6A7DDB4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r>
        <w:rPr>
          <w:rFonts w:ascii="宋体" w:hAnsi="宋体" w:eastAsia="宋体" w:cs="宋体"/>
          <w:sz w:val="24"/>
          <w:szCs w:val="24"/>
        </w:rPr>
        <w:t>故障检测器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具备</w:t>
      </w:r>
      <w:r>
        <w:rPr>
          <w:rFonts w:ascii="宋体" w:hAnsi="宋体" w:eastAsia="宋体" w:cs="宋体"/>
          <w:sz w:val="24"/>
          <w:szCs w:val="24"/>
        </w:rPr>
        <w:t>自动重启</w:t>
      </w:r>
      <w:r>
        <w:rPr>
          <w:rFonts w:hint="eastAsia" w:ascii="宋体" w:hAnsi="宋体" w:eastAsia="宋体" w:cs="宋体"/>
          <w:sz w:val="24"/>
          <w:szCs w:val="24"/>
          <w:lang w:val="en-US" w:eastAsia="zh-CN"/>
        </w:rPr>
        <w:t>功能</w:t>
      </w:r>
      <w:r>
        <w:rPr>
          <w:rFonts w:hint="eastAsia" w:ascii="宋体" w:hAnsi="宋体" w:eastAsia="宋体" w:cs="宋体"/>
          <w:sz w:val="24"/>
          <w:szCs w:val="24"/>
          <w:highlight w:val="none"/>
          <w:lang w:val="en-US" w:eastAsia="zh-CN"/>
        </w:rPr>
        <w:t>；</w:t>
      </w:r>
    </w:p>
    <w:p w14:paraId="44B1D88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w:t>
      </w:r>
      <w:r>
        <w:rPr>
          <w:rFonts w:ascii="宋体" w:hAnsi="宋体" w:eastAsia="宋体" w:cs="宋体"/>
          <w:sz w:val="24"/>
          <w:szCs w:val="24"/>
        </w:rPr>
        <w:t>运行计时器：可设定采样时间进行定时采样</w:t>
      </w:r>
      <w:r>
        <w:rPr>
          <w:rFonts w:hint="eastAsia" w:ascii="宋体" w:hAnsi="宋体" w:eastAsia="宋体" w:cs="宋体"/>
          <w:sz w:val="24"/>
          <w:szCs w:val="24"/>
          <w:highlight w:val="none"/>
          <w:lang w:val="en-US" w:eastAsia="zh-CN"/>
        </w:rPr>
        <w:t>；</w:t>
      </w:r>
    </w:p>
    <w:p w14:paraId="67A9A833">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w:t>
      </w:r>
      <w:r>
        <w:rPr>
          <w:rFonts w:ascii="宋体" w:hAnsi="宋体" w:eastAsia="宋体" w:cs="宋体"/>
          <w:sz w:val="24"/>
          <w:szCs w:val="24"/>
        </w:rPr>
        <w:t>编程计时器：可设定采样起始时间进行编程计时采样</w:t>
      </w:r>
      <w:r>
        <w:rPr>
          <w:rFonts w:hint="eastAsia" w:ascii="宋体" w:hAnsi="宋体" w:eastAsia="宋体" w:cs="宋体"/>
          <w:sz w:val="24"/>
          <w:szCs w:val="24"/>
          <w:highlight w:val="none"/>
          <w:lang w:val="en-US" w:eastAsia="zh-CN"/>
        </w:rPr>
        <w:t>；</w:t>
      </w:r>
    </w:p>
    <w:p w14:paraId="028596F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w:t>
      </w:r>
      <w:r>
        <w:rPr>
          <w:rFonts w:ascii="宋体" w:hAnsi="宋体" w:eastAsia="宋体" w:cs="宋体"/>
          <w:sz w:val="24"/>
          <w:szCs w:val="24"/>
        </w:rPr>
        <w:t>运行温度</w:t>
      </w:r>
      <w:r>
        <w:rPr>
          <w:rFonts w:hint="eastAsia" w:ascii="宋体" w:hAnsi="宋体" w:eastAsia="宋体" w:cs="宋体"/>
          <w:sz w:val="24"/>
          <w:szCs w:val="24"/>
          <w:lang w:eastAsia="zh-CN"/>
        </w:rPr>
        <w:t>：</w:t>
      </w:r>
      <w:r>
        <w:rPr>
          <w:rFonts w:ascii="宋体" w:hAnsi="宋体" w:eastAsia="宋体" w:cs="宋体"/>
          <w:sz w:val="24"/>
          <w:szCs w:val="24"/>
        </w:rPr>
        <w:t>5℃-45℃</w:t>
      </w:r>
      <w:r>
        <w:rPr>
          <w:rFonts w:hint="eastAsia" w:ascii="宋体" w:hAnsi="宋体" w:eastAsia="宋体" w:cs="宋体"/>
          <w:sz w:val="24"/>
          <w:szCs w:val="24"/>
          <w:highlight w:val="none"/>
          <w:lang w:val="en-US" w:eastAsia="zh-CN"/>
        </w:rPr>
        <w:t>；</w:t>
      </w:r>
    </w:p>
    <w:p w14:paraId="3155150C">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w:t>
      </w:r>
      <w:r>
        <w:rPr>
          <w:rFonts w:ascii="宋体" w:hAnsi="宋体" w:eastAsia="宋体" w:cs="宋体"/>
          <w:sz w:val="24"/>
          <w:szCs w:val="24"/>
        </w:rPr>
        <w:t>大气压</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可</w:t>
      </w:r>
      <w:r>
        <w:rPr>
          <w:rFonts w:ascii="宋体" w:hAnsi="宋体" w:eastAsia="宋体" w:cs="宋体"/>
          <w:sz w:val="24"/>
          <w:szCs w:val="24"/>
        </w:rPr>
        <w:t>自动校正</w:t>
      </w:r>
      <w:r>
        <w:rPr>
          <w:rFonts w:hint="eastAsia" w:ascii="宋体" w:hAnsi="宋体" w:eastAsia="宋体" w:cs="宋体"/>
          <w:sz w:val="24"/>
          <w:szCs w:val="24"/>
          <w:highlight w:val="none"/>
          <w:lang w:val="en-US" w:eastAsia="zh-CN"/>
        </w:rPr>
        <w:t>；</w:t>
      </w:r>
    </w:p>
    <w:p w14:paraId="64F8D4B0">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w:t>
      </w:r>
      <w:r>
        <w:rPr>
          <w:rFonts w:ascii="宋体" w:hAnsi="宋体" w:eastAsia="宋体" w:cs="宋体"/>
          <w:sz w:val="24"/>
          <w:szCs w:val="24"/>
        </w:rPr>
        <w:t>电池类型</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具备</w:t>
      </w:r>
      <w:r>
        <w:rPr>
          <w:rFonts w:ascii="宋体" w:hAnsi="宋体" w:eastAsia="宋体" w:cs="宋体"/>
          <w:sz w:val="24"/>
          <w:szCs w:val="24"/>
        </w:rPr>
        <w:t>锂离子充电电池，充电时间小于6小时</w:t>
      </w:r>
      <w:r>
        <w:rPr>
          <w:rFonts w:hint="eastAsia" w:ascii="宋体" w:hAnsi="宋体" w:eastAsia="宋体" w:cs="宋体"/>
          <w:sz w:val="24"/>
          <w:szCs w:val="24"/>
          <w:highlight w:val="none"/>
          <w:lang w:val="en-US" w:eastAsia="zh-CN"/>
        </w:rPr>
        <w:t>；</w:t>
      </w:r>
    </w:p>
    <w:p w14:paraId="6C7AF61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w:t>
      </w:r>
      <w:r>
        <w:rPr>
          <w:rFonts w:ascii="宋体" w:hAnsi="宋体" w:eastAsia="宋体" w:cs="宋体"/>
          <w:sz w:val="24"/>
          <w:szCs w:val="24"/>
        </w:rPr>
        <w:t>电池续航时间</w:t>
      </w:r>
      <w:r>
        <w:rPr>
          <w:rFonts w:hint="eastAsia" w:ascii="宋体" w:hAnsi="宋体" w:eastAsia="宋体" w:cs="宋体"/>
          <w:sz w:val="24"/>
          <w:szCs w:val="24"/>
          <w:lang w:eastAsia="zh-CN"/>
        </w:rPr>
        <w:t>：</w:t>
      </w:r>
      <w:r>
        <w:rPr>
          <w:rFonts w:ascii="宋体" w:hAnsi="宋体" w:eastAsia="宋体" w:cs="宋体"/>
          <w:sz w:val="24"/>
          <w:szCs w:val="24"/>
        </w:rPr>
        <w:t>200mL/min流量，20厘米水柱（2kPa）背压下可运行34小时</w:t>
      </w:r>
      <w:r>
        <w:rPr>
          <w:rFonts w:hint="eastAsia" w:ascii="宋体" w:hAnsi="宋体" w:eastAsia="宋体" w:cs="宋体"/>
          <w:sz w:val="24"/>
          <w:szCs w:val="24"/>
          <w:highlight w:val="none"/>
          <w:lang w:val="en-US" w:eastAsia="zh-CN"/>
        </w:rPr>
        <w:t>；</w:t>
      </w:r>
    </w:p>
    <w:p w14:paraId="277972C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15.</w:t>
      </w:r>
      <w:r>
        <w:rPr>
          <w:rFonts w:ascii="宋体" w:hAnsi="宋体" w:eastAsia="宋体" w:cs="宋体"/>
          <w:sz w:val="24"/>
          <w:szCs w:val="24"/>
        </w:rPr>
        <w:t>防护等级</w:t>
      </w:r>
      <w:r>
        <w:rPr>
          <w:rFonts w:hint="eastAsia" w:ascii="宋体" w:hAnsi="宋体" w:eastAsia="宋体" w:cs="宋体"/>
          <w:sz w:val="24"/>
          <w:szCs w:val="24"/>
          <w:lang w:eastAsia="zh-CN"/>
        </w:rPr>
        <w:t>：</w:t>
      </w:r>
      <w:r>
        <w:rPr>
          <w:rFonts w:ascii="宋体" w:hAnsi="宋体" w:eastAsia="宋体" w:cs="宋体"/>
          <w:sz w:val="24"/>
          <w:szCs w:val="24"/>
        </w:rPr>
        <w:t>IP65</w:t>
      </w:r>
      <w:r>
        <w:rPr>
          <w:rFonts w:hint="eastAsia" w:ascii="宋体" w:hAnsi="宋体" w:eastAsia="宋体" w:cs="宋体"/>
          <w:sz w:val="24"/>
          <w:szCs w:val="24"/>
          <w:highlight w:val="none"/>
          <w:lang w:val="en-US" w:eastAsia="zh-CN"/>
        </w:rPr>
        <w:t>；</w:t>
      </w:r>
    </w:p>
    <w:p w14:paraId="7BA46EA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16.</w:t>
      </w:r>
      <w:r>
        <w:rPr>
          <w:rFonts w:ascii="宋体" w:hAnsi="宋体" w:eastAsia="宋体" w:cs="宋体"/>
          <w:sz w:val="24"/>
          <w:szCs w:val="24"/>
        </w:rPr>
        <w:t>运行条数：最多可存储200条独立运行的数据</w:t>
      </w:r>
      <w:r>
        <w:rPr>
          <w:rFonts w:hint="eastAsia" w:ascii="宋体" w:hAnsi="宋体" w:eastAsia="宋体" w:cs="宋体"/>
          <w:sz w:val="24"/>
          <w:szCs w:val="24"/>
          <w:highlight w:val="none"/>
          <w:lang w:val="en-US" w:eastAsia="zh-CN"/>
        </w:rPr>
        <w:t>；</w:t>
      </w:r>
    </w:p>
    <w:p w14:paraId="6CC4D0D7">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17.</w:t>
      </w:r>
      <w:r>
        <w:rPr>
          <w:rFonts w:ascii="宋体" w:hAnsi="宋体" w:eastAsia="宋体" w:cs="宋体"/>
          <w:sz w:val="24"/>
          <w:szCs w:val="24"/>
        </w:rPr>
        <w:t>重量</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w:t>
      </w:r>
      <w:r>
        <w:rPr>
          <w:rFonts w:ascii="宋体" w:hAnsi="宋体" w:eastAsia="宋体" w:cs="宋体"/>
          <w:sz w:val="24"/>
          <w:szCs w:val="24"/>
        </w:rPr>
        <w:t>230克</w:t>
      </w:r>
      <w:r>
        <w:rPr>
          <w:rFonts w:hint="eastAsia" w:ascii="宋体" w:hAnsi="宋体" w:eastAsia="宋体" w:cs="宋体"/>
          <w:sz w:val="24"/>
          <w:szCs w:val="24"/>
          <w:lang w:eastAsia="zh-CN"/>
        </w:rPr>
        <w:t>；</w:t>
      </w:r>
    </w:p>
    <w:p w14:paraId="62F897B0">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b w:val="0"/>
          <w:bCs/>
          <w:sz w:val="24"/>
          <w:szCs w:val="24"/>
        </w:rPr>
        <w:t>★</w:t>
      </w:r>
      <w:r>
        <w:rPr>
          <w:rFonts w:hint="eastAsia" w:ascii="宋体" w:hAnsi="宋体" w:eastAsia="宋体" w:cs="宋体"/>
          <w:sz w:val="24"/>
          <w:szCs w:val="24"/>
          <w:lang w:val="en-US" w:eastAsia="zh-CN"/>
        </w:rPr>
        <w:t>18.</w:t>
      </w:r>
      <w:r>
        <w:rPr>
          <w:rFonts w:ascii="宋体" w:hAnsi="宋体" w:eastAsia="宋体" w:cs="宋体"/>
          <w:sz w:val="24"/>
          <w:szCs w:val="24"/>
        </w:rPr>
        <w:t>防爆等级：Ex ia IIC T4 Ga</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需</w:t>
      </w:r>
      <w:r>
        <w:rPr>
          <w:rFonts w:ascii="宋体" w:hAnsi="宋体" w:eastAsia="宋体" w:cs="宋体"/>
          <w:sz w:val="24"/>
          <w:szCs w:val="24"/>
        </w:rPr>
        <w:t>提供证书证明</w:t>
      </w:r>
      <w:r>
        <w:rPr>
          <w:rFonts w:hint="eastAsia" w:ascii="宋体" w:hAnsi="宋体" w:eastAsia="宋体" w:cs="宋体"/>
          <w:sz w:val="24"/>
          <w:szCs w:val="24"/>
          <w:lang w:eastAsia="zh-CN"/>
        </w:rPr>
        <w:t>）</w:t>
      </w:r>
      <w:r>
        <w:rPr>
          <w:rFonts w:hint="eastAsia" w:ascii="宋体" w:hAnsi="宋体" w:eastAsia="宋体" w:cs="宋体"/>
          <w:sz w:val="24"/>
          <w:szCs w:val="24"/>
          <w:highlight w:val="none"/>
          <w:lang w:val="en-US" w:eastAsia="zh-CN"/>
        </w:rPr>
        <w:t>；</w:t>
      </w:r>
    </w:p>
    <w:p w14:paraId="7E6EAAF5">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b w:val="0"/>
          <w:bCs/>
          <w:sz w:val="24"/>
          <w:szCs w:val="24"/>
        </w:rPr>
        <w:t>★</w:t>
      </w:r>
      <w:r>
        <w:rPr>
          <w:rFonts w:hint="eastAsia" w:ascii="宋体" w:hAnsi="宋体" w:eastAsia="宋体" w:cs="宋体"/>
          <w:sz w:val="24"/>
          <w:szCs w:val="24"/>
          <w:highlight w:val="none"/>
          <w:lang w:val="en-US" w:eastAsia="zh-CN"/>
        </w:rPr>
        <w:t>19.</w:t>
      </w:r>
      <w:r>
        <w:rPr>
          <w:rFonts w:hint="eastAsia" w:ascii="宋体" w:hAnsi="宋体" w:eastAsia="宋体" w:cs="宋体"/>
          <w:sz w:val="24"/>
          <w:szCs w:val="24"/>
          <w:lang w:val="en-US" w:eastAsia="zh-CN"/>
        </w:rPr>
        <w:t>经销商具有生产厂家授权经销和授权维修证明；能提供上门维修服务</w:t>
      </w:r>
      <w:r>
        <w:rPr>
          <w:rFonts w:hint="eastAsia" w:ascii="宋体" w:hAnsi="宋体" w:eastAsia="宋体" w:cs="宋体"/>
          <w:sz w:val="24"/>
          <w:szCs w:val="24"/>
          <w:highlight w:val="none"/>
          <w:lang w:val="en-US" w:eastAsia="zh-CN"/>
        </w:rPr>
        <w:t>；</w:t>
      </w:r>
    </w:p>
    <w:p w14:paraId="00680F36">
      <w:pPr>
        <w:keepNext w:val="0"/>
        <w:keepLines w:val="0"/>
        <w:pageBreakBefore w:val="0"/>
        <w:widowControl/>
        <w:kinsoku/>
        <w:wordWrap/>
        <w:overflowPunct/>
        <w:topLinePunct w:val="0"/>
        <w:autoSpaceDE/>
        <w:autoSpaceDN/>
        <w:bidi w:val="0"/>
        <w:adjustRightInd/>
        <w:snapToGrid/>
        <w:ind w:firstLine="482" w:firstLineChars="200"/>
        <w:textAlignment w:val="baseline"/>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20.每1台配1套采样套件；</w:t>
      </w:r>
    </w:p>
    <w:p w14:paraId="609BF9B3">
      <w:pPr>
        <w:keepNext w:val="0"/>
        <w:keepLines w:val="0"/>
        <w:pageBreakBefore w:val="0"/>
        <w:widowControl/>
        <w:kinsoku/>
        <w:wordWrap/>
        <w:overflowPunct/>
        <w:topLinePunct w:val="0"/>
        <w:autoSpaceDE/>
        <w:autoSpaceDN/>
        <w:bidi w:val="0"/>
        <w:adjustRightInd/>
        <w:snapToGrid/>
        <w:ind w:firstLine="482" w:firstLineChars="200"/>
        <w:textAlignment w:val="baseline"/>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21.每5台配1台移动终端、1个座充电座、1个便携箱、计量检定证书。</w:t>
      </w:r>
    </w:p>
    <w:p w14:paraId="644456BB">
      <w:pPr>
        <w:widowControl w:val="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标段二：中流量采样泵（12台）</w:t>
      </w:r>
    </w:p>
    <w:p w14:paraId="3499C54F">
      <w:pPr>
        <w:keepNext w:val="0"/>
        <w:keepLines w:val="0"/>
        <w:pageBreakBefore w:val="0"/>
        <w:widowControl/>
        <w:kinsoku/>
        <w:wordWrap/>
        <w:overflowPunct/>
        <w:topLinePunct w:val="0"/>
        <w:autoSpaceDE/>
        <w:autoSpaceDN/>
        <w:bidi w:val="0"/>
        <w:adjustRightInd/>
        <w:snapToGrid/>
        <w:ind w:firstLine="482" w:firstLineChars="200"/>
        <w:textAlignment w:val="baseline"/>
        <w:rPr>
          <w:rFonts w:hint="eastAsia" w:ascii="宋体" w:hAnsi="宋体" w:eastAsia="宋体" w:cs="宋体"/>
          <w:b/>
          <w:bCs/>
          <w:sz w:val="24"/>
          <w:szCs w:val="24"/>
          <w:lang w:val="en-US" w:eastAsia="zh-CN"/>
        </w:rPr>
      </w:pPr>
    </w:p>
    <w:p w14:paraId="7C57375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b w:val="0"/>
          <w:bCs/>
          <w:sz w:val="24"/>
          <w:szCs w:val="24"/>
        </w:rPr>
        <w:t>★</w:t>
      </w:r>
      <w:r>
        <w:rPr>
          <w:rFonts w:hint="eastAsia" w:ascii="宋体" w:hAnsi="宋体" w:eastAsia="宋体" w:cs="宋体"/>
          <w:sz w:val="24"/>
          <w:szCs w:val="24"/>
          <w:lang w:val="en-US" w:eastAsia="zh-CN"/>
        </w:rPr>
        <w:t>1.流量范围：(80-1500)mL/min，不超过1500ml/min；分辨率1ml/min,恒流式采样（提供计量器具型式批准证书证明）；</w:t>
      </w:r>
      <w:r>
        <w:rPr>
          <w:rFonts w:ascii="宋体" w:hAnsi="宋体" w:eastAsia="宋体" w:cs="宋体"/>
          <w:sz w:val="24"/>
          <w:szCs w:val="24"/>
        </w:rPr>
        <w:t>流量偏差超过设定流量±5%时自动停止采样</w:t>
      </w:r>
      <w:r>
        <w:rPr>
          <w:rFonts w:hint="eastAsia" w:ascii="宋体" w:hAnsi="宋体" w:eastAsia="宋体" w:cs="宋体"/>
          <w:sz w:val="24"/>
          <w:szCs w:val="24"/>
          <w:lang w:val="en-US" w:eastAsia="zh-CN"/>
        </w:rPr>
        <w:t>；</w:t>
      </w:r>
    </w:p>
    <w:p w14:paraId="06C37DBC">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2.流量示值误差：同时在4.5kPa和8.0kPa负载压力下不超过±2%（</w:t>
      </w:r>
      <w:r>
        <w:rPr>
          <w:rFonts w:hint="eastAsia" w:ascii="宋体" w:hAnsi="宋体" w:eastAsia="宋体" w:cs="宋体"/>
          <w:sz w:val="24"/>
          <w:szCs w:val="24"/>
          <w:highlight w:val="none"/>
          <w:lang w:val="en-US" w:eastAsia="zh-CN"/>
        </w:rPr>
        <w:t>提供权威机构出具</w:t>
      </w:r>
      <w:r>
        <w:rPr>
          <w:rFonts w:hint="eastAsia" w:ascii="宋体" w:hAnsi="宋体" w:eastAsia="宋体" w:cs="宋体"/>
          <w:sz w:val="24"/>
          <w:szCs w:val="24"/>
          <w:lang w:val="en-US" w:eastAsia="zh-CN"/>
        </w:rPr>
        <w:t>的4.5kPa和8.0kPa负载压力下的流量误差检测报告复印件并加盖公章）；</w:t>
      </w:r>
    </w:p>
    <w:p w14:paraId="36A99DC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3.电池续航：在1L采样流量及20KPa阻力下连续运行时间≥20小时；</w:t>
      </w:r>
    </w:p>
    <w:p w14:paraId="65449C0D">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4.数据储存：≥500个事件记录；</w:t>
      </w:r>
    </w:p>
    <w:p w14:paraId="4777636D">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5.采样模式：具备手动、定时，循环，定容等采样模式；</w:t>
      </w:r>
    </w:p>
    <w:p w14:paraId="395B9030">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6.流量显示：具备数字显示功能；</w:t>
      </w:r>
    </w:p>
    <w:p w14:paraId="3D0549C8">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7.支持多种采样方式，腰间携带采样，三角架连接采样，双路组合采样，四路组合采样（提供四路组合支架同时挂四台仪器照片证明并加盖公章）；</w:t>
      </w:r>
    </w:p>
    <w:p w14:paraId="16A19D8B">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8.仪器侧面具备二级缓冲模块，内部装有滤膜（提供二级缓冲模块照片证明并加盖公章）；</w:t>
      </w:r>
    </w:p>
    <w:p w14:paraId="2B64AF10">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9.防爆标志：具有不低于Ex ia IIB T4 Ga防爆等级（需提供防爆证书复印件）；</w:t>
      </w:r>
    </w:p>
    <w:p w14:paraId="6DA35F1C">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10.噪声：在500ml/min流量下，A计权声级须≤45dB（需提供权威机构出具的500ml/min流量下的噪声检测报告复印件并加盖公章）；</w:t>
      </w:r>
    </w:p>
    <w:p w14:paraId="3C63941A">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11.防护等级：不低于IP54；</w:t>
      </w:r>
    </w:p>
    <w:p w14:paraId="4F26E22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12.具有与流量计校准平台互联功能，实现流量全自动校准（提供与流量校准平台互联的照片证明并加盖公章）；</w:t>
      </w:r>
    </w:p>
    <w:p w14:paraId="02CF734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b w:val="0"/>
          <w:bCs/>
          <w:sz w:val="24"/>
          <w:szCs w:val="24"/>
        </w:rPr>
        <w:t>★</w:t>
      </w:r>
      <w:r>
        <w:rPr>
          <w:rFonts w:hint="eastAsia" w:ascii="宋体" w:hAnsi="宋体" w:eastAsia="宋体" w:cs="宋体"/>
          <w:sz w:val="24"/>
          <w:szCs w:val="24"/>
          <w:lang w:val="en-US" w:eastAsia="zh-CN"/>
        </w:rPr>
        <w:t>13.提供有效的计量证书复印件并加盖公章</w:t>
      </w:r>
      <w:r>
        <w:rPr>
          <w:rFonts w:hint="eastAsia" w:ascii="宋体" w:hAnsi="宋体" w:eastAsia="宋体" w:cs="宋体"/>
          <w:sz w:val="24"/>
          <w:szCs w:val="24"/>
          <w:lang w:eastAsia="zh-CN"/>
        </w:rPr>
        <w:t>；</w:t>
      </w:r>
    </w:p>
    <w:p w14:paraId="54442E21">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eastAsia="zh-CN"/>
        </w:rPr>
      </w:pPr>
      <w:r>
        <w:rPr>
          <w:rFonts w:hint="eastAsia"/>
          <w:b w:val="0"/>
          <w:bCs/>
          <w:sz w:val="24"/>
          <w:szCs w:val="24"/>
        </w:rPr>
        <w:t>★</w:t>
      </w:r>
      <w:r>
        <w:rPr>
          <w:rFonts w:hint="eastAsia" w:ascii="宋体" w:hAnsi="宋体" w:eastAsia="宋体" w:cs="宋体"/>
          <w:sz w:val="24"/>
          <w:szCs w:val="24"/>
          <w:lang w:val="en-US" w:eastAsia="zh-CN"/>
        </w:rPr>
        <w:t>14.经销商具有生产厂家授权经销和授权维修证明；能提供上门维修服务</w:t>
      </w:r>
      <w:r>
        <w:rPr>
          <w:rFonts w:hint="eastAsia" w:ascii="宋体" w:hAnsi="宋体" w:eastAsia="宋体" w:cs="宋体"/>
          <w:sz w:val="24"/>
          <w:szCs w:val="24"/>
          <w:lang w:eastAsia="zh-CN"/>
        </w:rPr>
        <w:t>；</w:t>
      </w:r>
    </w:p>
    <w:p w14:paraId="2B22F992">
      <w:pPr>
        <w:keepNext w:val="0"/>
        <w:keepLines w:val="0"/>
        <w:pageBreakBefore w:val="0"/>
        <w:widowControl/>
        <w:kinsoku/>
        <w:wordWrap/>
        <w:overflowPunct/>
        <w:topLinePunct w:val="0"/>
        <w:autoSpaceDE/>
        <w:autoSpaceDN/>
        <w:bidi w:val="0"/>
        <w:adjustRightInd/>
        <w:snapToGrid/>
        <w:ind w:firstLine="482" w:firstLineChars="200"/>
        <w:textAlignment w:val="baseline"/>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15.需配三角架、便携箱、组合支架、个体挎包、个体采样套件、充电座、转接头、吸收瓶支架等。</w:t>
      </w:r>
    </w:p>
    <w:p w14:paraId="15252E58">
      <w:pPr>
        <w:widowControl w:val="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标段三：高流量采样泵（10台）</w:t>
      </w:r>
    </w:p>
    <w:p w14:paraId="728B9B83">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b w:val="0"/>
          <w:bCs/>
          <w:sz w:val="24"/>
          <w:szCs w:val="24"/>
        </w:rPr>
        <w:t>★</w:t>
      </w:r>
      <w:r>
        <w:rPr>
          <w:rFonts w:hint="eastAsia" w:ascii="宋体" w:hAnsi="宋体" w:eastAsia="宋体" w:cs="宋体"/>
          <w:sz w:val="24"/>
          <w:szCs w:val="24"/>
          <w:lang w:val="en-US" w:eastAsia="zh-CN"/>
        </w:rPr>
        <w:t>1.流量范围：（3-30）L/min (显示分辨率0.01L/min)；</w:t>
      </w:r>
    </w:p>
    <w:p w14:paraId="2E043DE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2.恒流式采样，流量精度控制≤设定值的±5%；</w:t>
      </w:r>
      <w:r>
        <w:rPr>
          <w:rFonts w:ascii="宋体" w:hAnsi="宋体" w:eastAsia="宋体" w:cs="宋体"/>
          <w:sz w:val="24"/>
          <w:szCs w:val="24"/>
        </w:rPr>
        <w:t>流量偏差超过设定流量±5%时自动停止采样</w:t>
      </w:r>
      <w:r>
        <w:rPr>
          <w:rFonts w:hint="eastAsia" w:ascii="宋体" w:hAnsi="宋体" w:eastAsia="宋体" w:cs="宋体"/>
          <w:sz w:val="24"/>
          <w:szCs w:val="24"/>
          <w:lang w:val="en-US" w:eastAsia="zh-CN"/>
        </w:rPr>
        <w:t>；</w:t>
      </w:r>
    </w:p>
    <w:p w14:paraId="0A65D730">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3.最大负载≥25kPa；</w:t>
      </w:r>
    </w:p>
    <w:p w14:paraId="0E70A67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4.显示屏：具备触摸式彩色显示屏；</w:t>
      </w:r>
    </w:p>
    <w:p w14:paraId="1CB047F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5.电池续航：5kPa负载，20L/min流量下，不小于6小时；最大流量下，不小于8小时；</w:t>
      </w:r>
    </w:p>
    <w:p w14:paraId="04E51B2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6.数据储存：≥10000个事件记录，并可用U盘进行数据导出，可快速升级软件；</w:t>
      </w:r>
    </w:p>
    <w:p w14:paraId="34C90527">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7.噪音：≤68dB（A）；</w:t>
      </w:r>
    </w:p>
    <w:p w14:paraId="7FBC7EE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8.防护等级认证：IP54；跌落认证：1m；</w:t>
      </w:r>
    </w:p>
    <w:p w14:paraId="23E5DC9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9.高低温湿热试验、随机振动试验、碰撞试验、机械冲击试验、及耐盐雾测试</w:t>
      </w:r>
      <w:r>
        <w:rPr>
          <w:rFonts w:hint="eastAsia" w:ascii="宋体" w:hAnsi="宋体" w:eastAsia="宋体" w:cs="宋体"/>
          <w:sz w:val="24"/>
          <w:szCs w:val="24"/>
          <w:lang w:val="it-IT" w:eastAsia="zh-CN"/>
        </w:rPr>
        <w:t>；</w:t>
      </w:r>
    </w:p>
    <w:p w14:paraId="05B973C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10.防爆等级：Ex ic ⅡB T5 Gc本质安全型防爆；</w:t>
      </w:r>
    </w:p>
    <w:p w14:paraId="05B022FB">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11.系统支持USB接口和GPS定位功能（提供仪器照片证明）</w:t>
      </w:r>
      <w:r>
        <w:rPr>
          <w:rFonts w:hint="eastAsia" w:ascii="宋体" w:hAnsi="宋体" w:eastAsia="宋体" w:cs="宋体"/>
          <w:sz w:val="24"/>
          <w:szCs w:val="24"/>
          <w:lang w:val="it-IT" w:eastAsia="zh-CN"/>
        </w:rPr>
        <w:t>；</w:t>
      </w:r>
    </w:p>
    <w:p w14:paraId="5196073D">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12.系统支持4G模块拓展功能</w:t>
      </w:r>
      <w:r>
        <w:rPr>
          <w:rFonts w:hint="eastAsia" w:ascii="宋体" w:hAnsi="宋体" w:eastAsia="宋体" w:cs="宋体"/>
          <w:sz w:val="24"/>
          <w:szCs w:val="24"/>
          <w:lang w:val="it-IT" w:eastAsia="zh-CN"/>
        </w:rPr>
        <w:t>；</w:t>
      </w:r>
    </w:p>
    <w:p w14:paraId="3ED6ABF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13.与流量计校准平台互联功能，实现流量全自动校准（提供与流量校准平台互联的照片证明）</w:t>
      </w:r>
      <w:r>
        <w:rPr>
          <w:rFonts w:hint="eastAsia" w:ascii="宋体" w:hAnsi="宋体" w:eastAsia="宋体" w:cs="宋体"/>
          <w:sz w:val="24"/>
          <w:szCs w:val="24"/>
          <w:lang w:val="it-IT" w:eastAsia="zh-CN"/>
        </w:rPr>
        <w:t>；</w:t>
      </w:r>
    </w:p>
    <w:p w14:paraId="6F6B369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b w:val="0"/>
          <w:bCs/>
          <w:sz w:val="24"/>
          <w:szCs w:val="24"/>
        </w:rPr>
        <w:t>★</w:t>
      </w:r>
      <w:r>
        <w:rPr>
          <w:rFonts w:hint="eastAsia" w:ascii="宋体" w:hAnsi="宋体" w:eastAsia="宋体" w:cs="宋体"/>
          <w:sz w:val="24"/>
          <w:szCs w:val="24"/>
          <w:lang w:val="en-US" w:eastAsia="zh-CN"/>
        </w:rPr>
        <w:t>14.提供有效的计量证书复印件并加盖公章；</w:t>
      </w:r>
    </w:p>
    <w:p w14:paraId="7EBC2C78">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b w:val="0"/>
          <w:bCs/>
          <w:sz w:val="24"/>
          <w:szCs w:val="24"/>
        </w:rPr>
        <w:t>★</w:t>
      </w:r>
      <w:r>
        <w:rPr>
          <w:rFonts w:hint="eastAsia" w:ascii="宋体" w:hAnsi="宋体" w:eastAsia="宋体" w:cs="宋体"/>
          <w:sz w:val="24"/>
          <w:szCs w:val="24"/>
          <w:lang w:val="en-US" w:eastAsia="zh-CN"/>
        </w:rPr>
        <w:t>15.经销商具有生产厂家授权经销和授权维修证明；能提供上门维修服务；</w:t>
      </w:r>
    </w:p>
    <w:p w14:paraId="4DED218F">
      <w:pPr>
        <w:keepNext w:val="0"/>
        <w:keepLines w:val="0"/>
        <w:pageBreakBefore w:val="0"/>
        <w:widowControl/>
        <w:kinsoku/>
        <w:wordWrap/>
        <w:overflowPunct/>
        <w:topLinePunct w:val="0"/>
        <w:autoSpaceDE/>
        <w:autoSpaceDN/>
        <w:bidi w:val="0"/>
        <w:adjustRightInd/>
        <w:snapToGrid/>
        <w:ind w:firstLine="482" w:firstLineChars="200"/>
        <w:textAlignment w:val="baseline"/>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16.需配三角架、便携箱、呼尘采样头及滤膜夹、全尘采样头及滤膜夹、充电线、转接头、呼尘全尘校准转接头等。</w:t>
      </w:r>
    </w:p>
    <w:p w14:paraId="307FE3A4">
      <w:pPr>
        <w:widowControl w:val="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标段四：风量罩（1套）</w:t>
      </w:r>
    </w:p>
    <w:p w14:paraId="2DAC3C5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★1.测量指标：风量、风速、气流、温湿度等；</w:t>
      </w:r>
    </w:p>
    <w:p w14:paraId="38CD741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2.风量量程：42~4250m³/hr；</w:t>
      </w:r>
    </w:p>
    <w:p w14:paraId="77B9DB8B">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3.精度：读数的±3%或±12m³/hr(风量&gt;85 m3/hr)、分辨率：1 m³/hr；</w:t>
      </w:r>
    </w:p>
    <w:p w14:paraId="0D46C75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4.内置管道截面测试应用程序：可输入风管面积测风量；</w:t>
      </w:r>
    </w:p>
    <w:p w14:paraId="38E34FB3">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5.风速测量：风速范围：皮托管 0.125~78m/s，带普通可伸缩弯探头：0-50m/s；</w:t>
      </w:r>
    </w:p>
    <w:p w14:paraId="11BE067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6.温度测量：5~60℃,分辨率0.1℃,精度± 0.3℃，湿度测量：5-95%RH，分辨率0.1%RH,精度±3%RH；</w:t>
      </w:r>
    </w:p>
    <w:p w14:paraId="18A6447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7.配备防旋涡流量调整插件，适用于旋涡类风口；</w:t>
      </w:r>
    </w:p>
    <w:p w14:paraId="2D516AB7">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8.风量罩尺寸：标配610×610 mm(24"×24")及多种尺寸风罩可选；</w:t>
      </w:r>
    </w:p>
    <w:p w14:paraId="5BB16DA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9.提供有效的计量检定证书复印件并加盖公章；</w:t>
      </w:r>
    </w:p>
    <w:p w14:paraId="0C63F80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10.经销商具有生产厂家授权经销和授权维修证明；能提供上门维修服务；</w:t>
      </w:r>
    </w:p>
    <w:p w14:paraId="55A16770">
      <w:pPr>
        <w:keepNext w:val="0"/>
        <w:keepLines w:val="0"/>
        <w:pageBreakBefore w:val="0"/>
        <w:widowControl/>
        <w:kinsoku/>
        <w:wordWrap/>
        <w:overflowPunct/>
        <w:topLinePunct w:val="0"/>
        <w:autoSpaceDE/>
        <w:autoSpaceDN/>
        <w:bidi w:val="0"/>
        <w:adjustRightInd/>
        <w:snapToGrid/>
        <w:ind w:firstLine="482" w:firstLineChars="200"/>
        <w:textAlignment w:val="baseline"/>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11.包括主机1套、毕托管1根、风罩 3副、可伸缩弯探头1个，便携包1个。</w:t>
      </w:r>
    </w:p>
    <w:p w14:paraId="50B2D672">
      <w:pPr>
        <w:keepNext w:val="0"/>
        <w:keepLines w:val="0"/>
        <w:pageBreakBefore w:val="0"/>
        <w:widowControl w:val="0"/>
        <w:kinsoku/>
        <w:wordWrap/>
        <w:overflowPunct/>
        <w:topLinePunct w:val="0"/>
        <w:autoSpaceDE/>
        <w:autoSpaceDN/>
        <w:bidi w:val="0"/>
        <w:adjustRightInd/>
        <w:spacing w:line="360" w:lineRule="auto"/>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二、售后服务</w:t>
      </w:r>
    </w:p>
    <w:p w14:paraId="30A0670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（一）质保期：不低于一年。质保期从通过项目验收之日起计。软件（如有）终身免费升级。</w:t>
      </w:r>
    </w:p>
    <w:p w14:paraId="453B4A51">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（二）交付、验收合格使用后，按合同提供质保期内的免费保修服务。</w:t>
      </w:r>
    </w:p>
    <w:p w14:paraId="7D7D115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（三）质保期内，设备若有故障，免费更换零配件；中选供应商接到采购人的报修通知后2小时内响应，48小时内进行维修，每次维修须派专业维修人员到现场。</w:t>
      </w:r>
    </w:p>
    <w:p w14:paraId="63E9A233">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（四）如现场不能维修解决的故障问题，须提供故障不能排除时的解决方案。</w:t>
      </w:r>
    </w:p>
    <w:p w14:paraId="22F72593">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五）质保期满后，中选供应商须承诺提供终身维修服务，保证零配件供应，维修费用按照材料成本收取，免人工费。质保期满后，如设备故障，接到用户电话后技术人员须在2小时内电话沟通，48小时内到现场维修。</w:t>
      </w:r>
    </w:p>
    <w:p w14:paraId="7A821EB7">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（六）免费保修期满后，采购人亦有权自行选择维保单位。</w:t>
      </w:r>
    </w:p>
    <w:p w14:paraId="222832BC">
      <w:pPr>
        <w:keepNext w:val="0"/>
        <w:keepLines w:val="0"/>
        <w:pageBreakBefore w:val="0"/>
        <w:widowControl w:val="0"/>
        <w:numPr>
          <w:ilvl w:val="0"/>
          <w:numId w:val="0"/>
        </w:numPr>
        <w:kinsoku/>
        <w:wordWrap/>
        <w:overflowPunct/>
        <w:topLinePunct w:val="0"/>
        <w:autoSpaceDE/>
        <w:autoSpaceDN/>
        <w:bidi w:val="0"/>
        <w:adjustRightInd/>
        <w:spacing w:line="360" w:lineRule="auto"/>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color w:val="auto"/>
          <w:sz w:val="24"/>
          <w:szCs w:val="24"/>
          <w:highlight w:val="none"/>
          <w:lang w:val="en-US" w:eastAsia="zh-CN"/>
        </w:rPr>
        <w:t>验收</w:t>
      </w:r>
    </w:p>
    <w:p w14:paraId="3103B274">
      <w:pPr>
        <w:keepNext w:val="0"/>
        <w:keepLines w:val="0"/>
        <w:pageBreakBefore w:val="0"/>
        <w:widowControl w:val="0"/>
        <w:numPr>
          <w:ilvl w:val="0"/>
          <w:numId w:val="0"/>
        </w:numP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（一）验收要求</w:t>
      </w:r>
    </w:p>
    <w:p w14:paraId="7C4BE10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1.供应商须提供产品设备的验收方案，该方案须符合国家相关行业标准和验收标准。</w:t>
      </w:r>
    </w:p>
    <w:p w14:paraId="27AED35C">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2.货物到达采购人指定现场前，应提前1天通知采购人做好准备，由采购人会同有关单位和人员根据中标供应商提供的货物设备清单，进行现场验收；</w:t>
      </w:r>
    </w:p>
    <w:p w14:paraId="28256BB8">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3.中选供应商在完成项目后，若经采购人验收不合格，中选供应商承担所有责任。</w:t>
      </w:r>
    </w:p>
    <w:p w14:paraId="708AC5B6">
      <w:pPr>
        <w:keepNext w:val="0"/>
        <w:keepLines w:val="0"/>
        <w:pageBreakBefore w:val="0"/>
        <w:widowControl w:val="0"/>
        <w:numPr>
          <w:ilvl w:val="0"/>
          <w:numId w:val="0"/>
        </w:numP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（二）验收标准</w:t>
      </w:r>
    </w:p>
    <w:p w14:paraId="0A58F98D">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1.比选文件第三章“项目需求”中明确的标准和技术要求；</w:t>
      </w:r>
    </w:p>
    <w:p w14:paraId="794151E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2.与合同货物有关的最新版本的中华人民共和国国家/国际标准和部颁标准；</w:t>
      </w:r>
    </w:p>
    <w:p w14:paraId="120B81F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3.中选供应商随比选响应文件提供货物制造国的制造及验收的官方标准或货物验收大纲，经采购方确认后，将作为对货物的验收依据之一；</w:t>
      </w:r>
    </w:p>
    <w:p w14:paraId="2B5B2A3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4.中选供应商在澄清投标文件时作出的承诺，经采购方确认后，将作为对货物的验收依据之一；</w:t>
      </w:r>
    </w:p>
    <w:p w14:paraId="041693E0">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5.货物性能考核指标：不得低于上述货物验收标准中的指标。具体指标签订合同时根据比选文件和比选响应文件确定。</w:t>
      </w:r>
    </w:p>
    <w:p w14:paraId="18789E0B">
      <w:pPr>
        <w:keepNext w:val="0"/>
        <w:keepLines w:val="0"/>
        <w:pageBreakBefore w:val="0"/>
        <w:widowControl w:val="0"/>
        <w:numPr>
          <w:ilvl w:val="0"/>
          <w:numId w:val="0"/>
        </w:numPr>
        <w:kinsoku/>
        <w:wordWrap/>
        <w:overflowPunct/>
        <w:topLinePunct w:val="0"/>
        <w:autoSpaceDE/>
        <w:autoSpaceDN/>
        <w:bidi w:val="0"/>
        <w:adjustRightInd/>
        <w:spacing w:line="360" w:lineRule="auto"/>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color w:val="auto"/>
          <w:sz w:val="24"/>
          <w:szCs w:val="24"/>
          <w:highlight w:val="none"/>
          <w:lang w:val="en-US" w:eastAsia="zh-CN"/>
        </w:rPr>
        <w:t>供货期</w:t>
      </w:r>
    </w:p>
    <w:p w14:paraId="69553BF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在合同签订后20日内送达采购人指定地点。否则按照每天合同金额百分之一支付违约金。</w:t>
      </w:r>
    </w:p>
    <w:p w14:paraId="5D98839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五、付款方式</w:t>
      </w:r>
    </w:p>
    <w:p w14:paraId="5B45437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项目验收合格后支付合同总价的95%，余款验收合格满一年后支付。款项由采购单位按相关财务支付规定办理支付手续</w:t>
      </w:r>
      <w:r>
        <w:rPr>
          <w:rFonts w:hint="eastAsia" w:ascii="宋体" w:hAnsi="宋体" w:eastAsia="宋体" w:cs="宋体"/>
          <w:color w:val="auto"/>
          <w:sz w:val="24"/>
          <w:szCs w:val="24"/>
          <w:highlight w:val="none"/>
          <w:lang w:val="en-US" w:eastAsia="zh-CN"/>
        </w:rPr>
        <w:t>。</w:t>
      </w:r>
    </w:p>
    <w:p w14:paraId="26554D11">
      <w:pPr>
        <w:bidi w:val="0"/>
        <w:jc w:val="left"/>
        <w:rPr>
          <w:rFonts w:hint="default" w:asciiTheme="minorHAnsi" w:hAnsiTheme="minorHAnsi" w:eastAsiaTheme="minorEastAsia" w:cstheme="minorBidi"/>
          <w:kern w:val="2"/>
          <w:sz w:val="21"/>
          <w:szCs w:val="24"/>
          <w:lang w:val="en-US" w:eastAsia="zh-CN" w:bidi="ar-S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F56CFA"/>
    <w:rsid w:val="38F56CFA"/>
    <w:rsid w:val="751D2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ind w:firstLine="200"/>
      <w:jc w:val="both"/>
    </w:pPr>
    <w:rPr>
      <w:rFonts w:ascii="宋体" w:hAnsi="Calibri" w:eastAsia="仿宋_GB2312"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2596</Words>
  <Characters>2979</Characters>
  <Lines>0</Lines>
  <Paragraphs>0</Paragraphs>
  <TotalTime>0</TotalTime>
  <ScaleCrop>false</ScaleCrop>
  <LinksUpToDate>false</LinksUpToDate>
  <CharactersWithSpaces>2998</CharactersWithSpaces>
  <Application>WPS Office_12.1.0.23122_F1E327BC-269C-435d-A152-05C5408002CA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2025-10-23T09:27:00Z</dcterms:created>
  <dc:creator>le</dc:creator>
  <cp:lastModifiedBy>le</cp:lastModifiedBy>
  <dcterms:modified xsi:type="dcterms:W3CDTF">2025-10-24T06:57:13Z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2052-12.1.0.23122</vt:lpwstr>
  </property>
  <property fmtid="{D5CDD505-2E9C-101B-9397-08002B2CF9AE}" pid="3" name="ICV">
    <vt:lpwstr>8FC526B8BDDE4CAFA6FB420654E158DE_11</vt:lpwstr>
  </property>
  <property fmtid="{D5CDD505-2E9C-101B-9397-08002B2CF9AE}" pid="4" name="KSOTemplateDocerSaveRecord">
    <vt:lpwstr>eyJoZGlkIjoiNzc3NGZiODMwZWIxNGQ1ZGM3NzU3NzM0MzJmZjJlOWYiLCJ1c2VySWQiOiIxMjY5NzgzNzg4In0=</vt:lpwstr>
  </property>
</Properties>
</file>