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B9286F">
      <w:pPr>
        <w:shd w:val="clear"/>
        <w:tabs>
          <w:tab w:val="left" w:pos="6300"/>
        </w:tabs>
        <w:snapToGrid w:val="0"/>
        <w:spacing w:line="300" w:lineRule="auto"/>
        <w:jc w:val="center"/>
        <w:rPr>
          <w:rStyle w:val="43"/>
          <w:rFonts w:ascii="宋体" w:hAnsi="宋体" w:eastAsia="宋体" w:cs="宋体"/>
          <w:b/>
          <w:color w:val="auto"/>
          <w:sz w:val="44"/>
          <w:szCs w:val="44"/>
          <w:highlight w:val="none"/>
        </w:rPr>
      </w:pPr>
    </w:p>
    <w:p w14:paraId="3254148C">
      <w:pPr>
        <w:shd w:val="clear"/>
        <w:tabs>
          <w:tab w:val="center" w:pos="5023"/>
          <w:tab w:val="left" w:pos="8652"/>
        </w:tabs>
        <w:snapToGrid w:val="0"/>
        <w:spacing w:before="240" w:line="500" w:lineRule="exact"/>
        <w:jc w:val="center"/>
        <w:rPr>
          <w:rStyle w:val="43"/>
          <w:rFonts w:ascii="宋体" w:hAnsi="宋体" w:eastAsia="宋体" w:cs="宋体"/>
          <w:b/>
          <w:color w:val="auto"/>
          <w:sz w:val="48"/>
          <w:szCs w:val="48"/>
          <w:highlight w:val="none"/>
        </w:rPr>
      </w:pPr>
    </w:p>
    <w:p w14:paraId="215C5592">
      <w:pPr>
        <w:pStyle w:val="96"/>
        <w:shd w:val="clear"/>
        <w:snapToGrid w:val="0"/>
        <w:spacing w:line="360" w:lineRule="auto"/>
        <w:ind w:left="0" w:firstLine="0" w:firstLineChars="0"/>
        <w:jc w:val="center"/>
        <w:rPr>
          <w:rStyle w:val="43"/>
          <w:rFonts w:hint="eastAsia" w:ascii="宋体" w:hAnsi="宋体" w:eastAsia="宋体" w:cs="宋体"/>
          <w:b/>
          <w:color w:val="auto"/>
          <w:sz w:val="40"/>
          <w:szCs w:val="40"/>
          <w:highlight w:val="none"/>
          <w:lang w:eastAsia="zh-CN"/>
        </w:rPr>
      </w:pPr>
      <w:r>
        <w:rPr>
          <w:rStyle w:val="43"/>
          <w:rFonts w:hint="eastAsia" w:ascii="宋体" w:hAnsi="宋体" w:eastAsia="宋体" w:cs="宋体"/>
          <w:b/>
          <w:color w:val="auto"/>
          <w:sz w:val="40"/>
          <w:szCs w:val="40"/>
          <w:highlight w:val="none"/>
          <w:lang w:eastAsia="zh-CN"/>
        </w:rPr>
        <w:t>南通市疾病预防控制中心</w:t>
      </w:r>
      <w:r>
        <w:rPr>
          <w:rStyle w:val="43"/>
          <w:rFonts w:hint="eastAsia" w:ascii="宋体" w:hAnsi="宋体" w:eastAsia="宋体" w:cs="宋体"/>
          <w:b/>
          <w:color w:val="auto"/>
          <w:sz w:val="40"/>
          <w:szCs w:val="40"/>
          <w:highlight w:val="none"/>
          <w:lang w:val="en-US" w:eastAsia="zh-CN"/>
        </w:rPr>
        <w:t>超低温</w:t>
      </w:r>
      <w:r>
        <w:rPr>
          <w:rStyle w:val="43"/>
          <w:rFonts w:hint="eastAsia" w:ascii="宋体" w:hAnsi="宋体" w:eastAsia="宋体" w:cs="宋体"/>
          <w:b/>
          <w:color w:val="auto"/>
          <w:sz w:val="40"/>
          <w:szCs w:val="40"/>
          <w:highlight w:val="none"/>
          <w:lang w:eastAsia="zh-CN"/>
        </w:rPr>
        <w:t>冰箱采购项目</w:t>
      </w:r>
    </w:p>
    <w:p w14:paraId="0FA5618B">
      <w:pPr>
        <w:pStyle w:val="96"/>
        <w:shd w:val="clear"/>
        <w:snapToGrid w:val="0"/>
        <w:ind w:firstLine="520"/>
        <w:rPr>
          <w:rStyle w:val="43"/>
          <w:rFonts w:ascii="宋体" w:hAnsi="宋体" w:eastAsia="宋体" w:cs="宋体"/>
          <w:color w:val="auto"/>
          <w:sz w:val="26"/>
          <w:highlight w:val="none"/>
        </w:rPr>
      </w:pPr>
    </w:p>
    <w:p w14:paraId="6AD08890">
      <w:pPr>
        <w:pStyle w:val="96"/>
        <w:shd w:val="clear"/>
        <w:snapToGrid w:val="0"/>
        <w:ind w:firstLine="520"/>
        <w:rPr>
          <w:rStyle w:val="43"/>
          <w:rFonts w:ascii="宋体" w:hAnsi="宋体" w:eastAsia="宋体" w:cs="宋体"/>
          <w:color w:val="auto"/>
          <w:sz w:val="26"/>
          <w:highlight w:val="none"/>
        </w:rPr>
      </w:pPr>
    </w:p>
    <w:p w14:paraId="6E552C55">
      <w:pPr>
        <w:pStyle w:val="96"/>
        <w:shd w:val="clear"/>
        <w:snapToGrid w:val="0"/>
        <w:ind w:firstLine="520"/>
        <w:rPr>
          <w:rStyle w:val="43"/>
          <w:rFonts w:ascii="宋体" w:hAnsi="宋体" w:eastAsia="宋体" w:cs="宋体"/>
          <w:color w:val="auto"/>
          <w:sz w:val="26"/>
          <w:highlight w:val="none"/>
        </w:rPr>
      </w:pPr>
    </w:p>
    <w:p w14:paraId="59B34420">
      <w:pPr>
        <w:shd w:val="clear"/>
        <w:snapToGrid w:val="0"/>
        <w:spacing w:line="1400" w:lineRule="exact"/>
        <w:jc w:val="center"/>
        <w:rPr>
          <w:rStyle w:val="43"/>
          <w:rFonts w:ascii="宋体" w:hAnsi="宋体" w:eastAsia="宋体" w:cs="宋体"/>
          <w:b/>
          <w:color w:val="auto"/>
          <w:sz w:val="72"/>
          <w:szCs w:val="72"/>
          <w:highlight w:val="none"/>
        </w:rPr>
      </w:pPr>
      <w:r>
        <w:rPr>
          <w:rStyle w:val="43"/>
          <w:rFonts w:hint="eastAsia" w:ascii="宋体" w:hAnsi="宋体" w:eastAsia="宋体" w:cs="宋体"/>
          <w:b/>
          <w:color w:val="auto"/>
          <w:sz w:val="72"/>
          <w:szCs w:val="72"/>
          <w:highlight w:val="none"/>
        </w:rPr>
        <w:t>比选文件</w:t>
      </w:r>
    </w:p>
    <w:p w14:paraId="2000897A">
      <w:pPr>
        <w:shd w:val="clear"/>
        <w:snapToGrid w:val="0"/>
        <w:spacing w:line="640" w:lineRule="exact"/>
        <w:jc w:val="center"/>
        <w:rPr>
          <w:rStyle w:val="43"/>
          <w:rFonts w:ascii="宋体" w:hAnsi="宋体" w:eastAsia="宋体" w:cs="宋体"/>
          <w:b/>
          <w:color w:val="auto"/>
          <w:sz w:val="72"/>
          <w:szCs w:val="72"/>
          <w:highlight w:val="none"/>
        </w:rPr>
      </w:pPr>
      <w:r>
        <w:rPr>
          <w:rStyle w:val="43"/>
          <w:rFonts w:hint="eastAsia" w:ascii="宋体" w:hAnsi="宋体" w:eastAsia="宋体" w:cs="宋体"/>
          <w:b/>
          <w:color w:val="auto"/>
          <w:sz w:val="44"/>
          <w:szCs w:val="44"/>
          <w:highlight w:val="none"/>
        </w:rPr>
        <w:t>（资格后审）</w:t>
      </w:r>
    </w:p>
    <w:p w14:paraId="28861D46">
      <w:pPr>
        <w:shd w:val="clear"/>
        <w:snapToGrid w:val="0"/>
        <w:jc w:val="center"/>
        <w:rPr>
          <w:rStyle w:val="43"/>
          <w:rFonts w:ascii="宋体" w:hAnsi="宋体" w:eastAsia="宋体" w:cs="宋体"/>
          <w:b/>
          <w:color w:val="auto"/>
          <w:sz w:val="36"/>
          <w:highlight w:val="none"/>
        </w:rPr>
      </w:pPr>
    </w:p>
    <w:p w14:paraId="4B750DC9">
      <w:pPr>
        <w:pStyle w:val="96"/>
        <w:shd w:val="clear"/>
        <w:snapToGrid w:val="0"/>
        <w:ind w:firstLine="520"/>
        <w:rPr>
          <w:rStyle w:val="43"/>
          <w:rFonts w:ascii="宋体" w:hAnsi="宋体" w:eastAsia="宋体" w:cs="宋体"/>
          <w:color w:val="auto"/>
          <w:sz w:val="26"/>
          <w:highlight w:val="none"/>
        </w:rPr>
      </w:pPr>
    </w:p>
    <w:p w14:paraId="4959DD89">
      <w:pPr>
        <w:shd w:val="clear"/>
        <w:snapToGrid w:val="0"/>
        <w:rPr>
          <w:rStyle w:val="43"/>
          <w:rFonts w:ascii="宋体" w:hAnsi="宋体" w:eastAsia="宋体" w:cs="宋体"/>
          <w:b/>
          <w:color w:val="auto"/>
          <w:sz w:val="36"/>
          <w:highlight w:val="none"/>
        </w:rPr>
      </w:pPr>
    </w:p>
    <w:p w14:paraId="3B6FEA9E">
      <w:pPr>
        <w:pStyle w:val="79"/>
        <w:shd w:val="clear"/>
        <w:snapToGrid w:val="0"/>
        <w:rPr>
          <w:rStyle w:val="43"/>
          <w:rFonts w:ascii="宋体" w:hAnsi="宋体" w:eastAsia="宋体" w:cs="宋体"/>
          <w:color w:val="auto"/>
          <w:highlight w:val="none"/>
        </w:rPr>
      </w:pPr>
    </w:p>
    <w:p w14:paraId="381EBBF5">
      <w:pPr>
        <w:shd w:val="clear"/>
        <w:snapToGrid w:val="0"/>
        <w:rPr>
          <w:rStyle w:val="43"/>
          <w:rFonts w:ascii="宋体" w:hAnsi="宋体" w:eastAsia="宋体" w:cs="宋体"/>
          <w:b/>
          <w:color w:val="auto"/>
          <w:sz w:val="30"/>
          <w:szCs w:val="30"/>
          <w:highlight w:val="none"/>
        </w:rPr>
      </w:pPr>
      <w:r>
        <w:rPr>
          <w:rStyle w:val="43"/>
          <w:rFonts w:hint="eastAsia" w:ascii="宋体" w:hAnsi="宋体" w:eastAsia="宋体" w:cs="宋体"/>
          <w:b/>
          <w:color w:val="auto"/>
          <w:sz w:val="30"/>
          <w:szCs w:val="30"/>
          <w:highlight w:val="none"/>
        </w:rPr>
        <w:t xml:space="preserve">       </w:t>
      </w:r>
    </w:p>
    <w:p w14:paraId="34E01CD8">
      <w:pPr>
        <w:pStyle w:val="58"/>
        <w:shd w:val="clear"/>
        <w:snapToGrid w:val="0"/>
        <w:spacing w:line="360" w:lineRule="auto"/>
        <w:jc w:val="center"/>
        <w:rPr>
          <w:rStyle w:val="43"/>
          <w:rFonts w:ascii="宋体" w:hAnsi="宋体" w:eastAsia="宋体" w:cs="宋体"/>
          <w:b/>
          <w:color w:val="auto"/>
          <w:szCs w:val="28"/>
          <w:highlight w:val="none"/>
        </w:rPr>
      </w:pPr>
      <w:r>
        <w:rPr>
          <w:rStyle w:val="43"/>
          <w:rFonts w:hint="eastAsia" w:ascii="宋体" w:hAnsi="宋体" w:eastAsia="宋体" w:cs="宋体"/>
          <w:b/>
          <w:color w:val="auto"/>
          <w:szCs w:val="28"/>
          <w:highlight w:val="none"/>
        </w:rPr>
        <w:t>采 购 人：南通市疾病预防控制中心</w:t>
      </w:r>
    </w:p>
    <w:p w14:paraId="3D71E40F">
      <w:pPr>
        <w:shd w:val="clear"/>
        <w:snapToGrid w:val="0"/>
        <w:jc w:val="center"/>
        <w:rPr>
          <w:rStyle w:val="43"/>
          <w:rFonts w:ascii="宋体" w:hAnsi="宋体" w:eastAsia="宋体" w:cs="宋体"/>
          <w:b/>
          <w:color w:val="auto"/>
          <w:sz w:val="28"/>
          <w:szCs w:val="28"/>
          <w:highlight w:val="none"/>
        </w:rPr>
      </w:pPr>
      <w:r>
        <w:rPr>
          <w:rStyle w:val="43"/>
          <w:rFonts w:hint="eastAsia" w:ascii="宋体" w:hAnsi="宋体" w:eastAsia="宋体" w:cs="宋体"/>
          <w:b/>
          <w:color w:val="auto"/>
          <w:sz w:val="28"/>
          <w:szCs w:val="28"/>
          <w:highlight w:val="none"/>
          <w:lang w:val="en-US" w:eastAsia="zh-CN"/>
        </w:rPr>
        <w:t>2025</w:t>
      </w:r>
      <w:r>
        <w:rPr>
          <w:rStyle w:val="43"/>
          <w:rFonts w:hint="eastAsia" w:ascii="宋体" w:hAnsi="宋体" w:eastAsia="宋体" w:cs="宋体"/>
          <w:b/>
          <w:color w:val="auto"/>
          <w:sz w:val="28"/>
          <w:szCs w:val="28"/>
          <w:highlight w:val="none"/>
        </w:rPr>
        <w:t>年</w:t>
      </w:r>
      <w:r>
        <w:rPr>
          <w:rStyle w:val="43"/>
          <w:rFonts w:hint="eastAsia" w:ascii="宋体" w:hAnsi="宋体" w:eastAsia="宋体" w:cs="宋体"/>
          <w:b/>
          <w:color w:val="auto"/>
          <w:sz w:val="28"/>
          <w:szCs w:val="28"/>
          <w:highlight w:val="none"/>
          <w:lang w:val="en-US" w:eastAsia="zh-CN"/>
        </w:rPr>
        <w:t>11</w:t>
      </w:r>
      <w:r>
        <w:rPr>
          <w:rStyle w:val="43"/>
          <w:rFonts w:hint="eastAsia" w:ascii="宋体" w:hAnsi="宋体" w:eastAsia="宋体" w:cs="宋体"/>
          <w:b/>
          <w:color w:val="auto"/>
          <w:sz w:val="28"/>
          <w:szCs w:val="28"/>
          <w:highlight w:val="none"/>
        </w:rPr>
        <w:t>月</w:t>
      </w:r>
    </w:p>
    <w:p w14:paraId="5D5CEF98">
      <w:pPr>
        <w:shd w:val="clear"/>
        <w:snapToGrid w:val="0"/>
        <w:ind w:firstLine="1124" w:firstLineChars="350"/>
        <w:rPr>
          <w:rStyle w:val="43"/>
          <w:rFonts w:ascii="宋体" w:hAnsi="宋体" w:eastAsia="宋体" w:cs="宋体"/>
          <w:b/>
          <w:color w:val="auto"/>
          <w:sz w:val="32"/>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021" w:right="1134" w:bottom="1021" w:left="1134" w:header="851" w:footer="992" w:gutter="0"/>
          <w:cols w:space="720" w:num="1"/>
          <w:titlePg/>
          <w:docGrid w:linePitch="380" w:charSpace="-5735"/>
        </w:sectPr>
      </w:pPr>
    </w:p>
    <w:p w14:paraId="7FB9E3A5">
      <w:pPr>
        <w:pStyle w:val="33"/>
        <w:shd w:val="clear"/>
        <w:snapToGrid w:val="0"/>
        <w:ind w:firstLine="3740" w:firstLineChars="850"/>
        <w:rPr>
          <w:rStyle w:val="43"/>
          <w:rFonts w:ascii="宋体" w:hAnsi="宋体" w:eastAsia="宋体" w:cs="宋体"/>
          <w:b/>
          <w:color w:val="auto"/>
          <w:sz w:val="44"/>
          <w:szCs w:val="44"/>
          <w:highlight w:val="none"/>
        </w:rPr>
      </w:pPr>
      <w:r>
        <w:rPr>
          <w:rStyle w:val="43"/>
          <w:rFonts w:hint="eastAsia" w:ascii="宋体" w:hAnsi="宋体" w:eastAsia="宋体" w:cs="宋体"/>
          <w:b/>
          <w:color w:val="auto"/>
          <w:sz w:val="44"/>
          <w:szCs w:val="44"/>
          <w:highlight w:val="none"/>
        </w:rPr>
        <w:t>目  录</w:t>
      </w:r>
    </w:p>
    <w:p w14:paraId="01E31883">
      <w:pPr>
        <w:pStyle w:val="79"/>
        <w:numPr>
          <w:ilvl w:val="0"/>
          <w:numId w:val="5"/>
        </w:numPr>
        <w:shd w:val="clear"/>
        <w:tabs>
          <w:tab w:val="right" w:leader="dot" w:pos="9528"/>
        </w:tabs>
        <w:snapToGrid w:val="0"/>
        <w:spacing w:line="1200" w:lineRule="exact"/>
        <w:ind w:firstLine="640" w:firstLineChars="200"/>
        <w:rPr>
          <w:rStyle w:val="43"/>
          <w:rFonts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比选通告</w:t>
      </w:r>
    </w:p>
    <w:p w14:paraId="4275FD7D">
      <w:pPr>
        <w:pStyle w:val="79"/>
        <w:shd w:val="clear"/>
        <w:tabs>
          <w:tab w:val="right" w:leader="dot" w:pos="9528"/>
        </w:tabs>
        <w:snapToGrid w:val="0"/>
        <w:spacing w:line="1200" w:lineRule="exact"/>
        <w:ind w:firstLine="640" w:firstLineChars="200"/>
        <w:rPr>
          <w:rStyle w:val="43"/>
          <w:rFonts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第二章 供应商须知</w:t>
      </w:r>
    </w:p>
    <w:p w14:paraId="28A6164C">
      <w:pPr>
        <w:pStyle w:val="79"/>
        <w:shd w:val="clear"/>
        <w:tabs>
          <w:tab w:val="right" w:leader="dot" w:pos="9528"/>
        </w:tabs>
        <w:snapToGrid w:val="0"/>
        <w:spacing w:line="1200" w:lineRule="exact"/>
        <w:ind w:firstLine="640" w:firstLineChars="200"/>
        <w:rPr>
          <w:rStyle w:val="43"/>
          <w:rFonts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第三章 项目需求</w:t>
      </w:r>
    </w:p>
    <w:p w14:paraId="5C4E4608">
      <w:pPr>
        <w:pStyle w:val="79"/>
        <w:shd w:val="clear"/>
        <w:tabs>
          <w:tab w:val="right" w:leader="dot" w:pos="9528"/>
        </w:tabs>
        <w:snapToGrid w:val="0"/>
        <w:spacing w:line="1200" w:lineRule="exact"/>
        <w:ind w:firstLine="640" w:firstLineChars="200"/>
        <w:rPr>
          <w:rStyle w:val="43"/>
          <w:rFonts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第四章 评审方法和程序</w:t>
      </w:r>
    </w:p>
    <w:p w14:paraId="5316265A">
      <w:pPr>
        <w:pStyle w:val="79"/>
        <w:shd w:val="clear"/>
        <w:tabs>
          <w:tab w:val="right" w:leader="dot" w:pos="9528"/>
        </w:tabs>
        <w:snapToGrid w:val="0"/>
        <w:spacing w:line="1200" w:lineRule="exact"/>
        <w:ind w:firstLine="640" w:firstLineChars="200"/>
        <w:rPr>
          <w:rStyle w:val="43"/>
          <w:rFonts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第五章 合同授予</w:t>
      </w:r>
    </w:p>
    <w:p w14:paraId="5A015FE1">
      <w:pPr>
        <w:pStyle w:val="79"/>
        <w:shd w:val="clear"/>
        <w:tabs>
          <w:tab w:val="right" w:leader="dot" w:pos="9528"/>
        </w:tabs>
        <w:snapToGrid w:val="0"/>
        <w:spacing w:line="1200" w:lineRule="exact"/>
        <w:ind w:firstLine="640" w:firstLineChars="200"/>
        <w:rPr>
          <w:rStyle w:val="43"/>
          <w:rFonts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第六章 质疑与投诉</w:t>
      </w:r>
    </w:p>
    <w:p w14:paraId="60054B6A">
      <w:pPr>
        <w:pStyle w:val="79"/>
        <w:shd w:val="clear"/>
        <w:tabs>
          <w:tab w:val="right" w:leader="dot" w:pos="9528"/>
        </w:tabs>
        <w:snapToGrid w:val="0"/>
        <w:spacing w:line="1200" w:lineRule="exact"/>
        <w:ind w:firstLine="640" w:firstLineChars="200"/>
        <w:rPr>
          <w:rStyle w:val="43"/>
          <w:rFonts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第七章 响应文件组成及格式</w:t>
      </w:r>
    </w:p>
    <w:p w14:paraId="6CC50F61">
      <w:pPr>
        <w:shd w:val="clear"/>
        <w:snapToGrid w:val="0"/>
        <w:spacing w:line="1200" w:lineRule="exact"/>
        <w:rPr>
          <w:rStyle w:val="43"/>
          <w:rFonts w:ascii="宋体" w:hAnsi="宋体" w:eastAsia="宋体" w:cs="宋体"/>
          <w:color w:val="auto"/>
          <w:sz w:val="36"/>
          <w:szCs w:val="36"/>
          <w:highlight w:val="none"/>
        </w:rPr>
      </w:pPr>
    </w:p>
    <w:p w14:paraId="1E3E82EB">
      <w:pPr>
        <w:pStyle w:val="33"/>
        <w:shd w:val="clear"/>
        <w:snapToGrid w:val="0"/>
        <w:spacing w:line="1200" w:lineRule="exact"/>
        <w:ind w:firstLine="0"/>
        <w:jc w:val="center"/>
        <w:rPr>
          <w:rStyle w:val="43"/>
          <w:rFonts w:ascii="宋体" w:hAnsi="宋体" w:eastAsia="宋体" w:cs="宋体"/>
          <w:b/>
          <w:bCs/>
          <w:color w:val="auto"/>
          <w:sz w:val="36"/>
          <w:szCs w:val="36"/>
          <w:highlight w:val="none"/>
        </w:rPr>
      </w:pPr>
    </w:p>
    <w:p w14:paraId="6A2A4FB1">
      <w:pPr>
        <w:shd w:val="clear"/>
        <w:snapToGrid w:val="0"/>
        <w:rPr>
          <w:rStyle w:val="43"/>
          <w:rFonts w:ascii="宋体" w:hAnsi="宋体" w:eastAsia="宋体" w:cs="宋体"/>
          <w:color w:val="auto"/>
          <w:sz w:val="30"/>
          <w:highlight w:val="none"/>
        </w:rPr>
      </w:pPr>
    </w:p>
    <w:p w14:paraId="4FBFFEB9">
      <w:pPr>
        <w:pStyle w:val="79"/>
        <w:shd w:val="clear"/>
        <w:snapToGrid w:val="0"/>
        <w:rPr>
          <w:rStyle w:val="43"/>
          <w:rFonts w:ascii="宋体" w:hAnsi="宋体" w:eastAsia="宋体" w:cs="宋体"/>
          <w:color w:val="auto"/>
          <w:highlight w:val="none"/>
        </w:rPr>
      </w:pPr>
    </w:p>
    <w:p w14:paraId="7A08D289">
      <w:pPr>
        <w:shd w:val="clear"/>
        <w:snapToGrid w:val="0"/>
        <w:rPr>
          <w:rStyle w:val="43"/>
          <w:rFonts w:ascii="宋体" w:hAnsi="宋体" w:eastAsia="宋体" w:cs="宋体"/>
          <w:color w:val="auto"/>
          <w:highlight w:val="none"/>
        </w:rPr>
      </w:pPr>
    </w:p>
    <w:p w14:paraId="45433E0F">
      <w:pPr>
        <w:pStyle w:val="79"/>
        <w:shd w:val="clear"/>
        <w:snapToGrid w:val="0"/>
        <w:rPr>
          <w:rStyle w:val="43"/>
          <w:rFonts w:ascii="宋体" w:hAnsi="宋体" w:eastAsia="宋体" w:cs="宋体"/>
          <w:color w:val="auto"/>
          <w:highlight w:val="none"/>
        </w:rPr>
      </w:pPr>
    </w:p>
    <w:p w14:paraId="20921033">
      <w:pPr>
        <w:shd w:val="clear"/>
        <w:snapToGrid w:val="0"/>
        <w:spacing w:line="500" w:lineRule="exact"/>
        <w:rPr>
          <w:rStyle w:val="43"/>
          <w:rFonts w:ascii="宋体" w:hAnsi="宋体" w:eastAsia="宋体" w:cs="宋体"/>
          <w:b/>
          <w:bCs/>
          <w:color w:val="auto"/>
          <w:sz w:val="24"/>
          <w:szCs w:val="24"/>
          <w:highlight w:val="none"/>
        </w:rPr>
      </w:pPr>
    </w:p>
    <w:p w14:paraId="4E4435A5">
      <w:pPr>
        <w:shd w:val="clear"/>
        <w:snapToGrid w:val="0"/>
        <w:spacing w:line="500" w:lineRule="exact"/>
        <w:rPr>
          <w:rStyle w:val="43"/>
          <w:rFonts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尊敬的供应商：</w:t>
      </w:r>
    </w:p>
    <w:p w14:paraId="47B9A7E9">
      <w:pPr>
        <w:shd w:val="clear"/>
        <w:snapToGrid w:val="0"/>
        <w:spacing w:line="500" w:lineRule="exact"/>
        <w:ind w:firstLine="480" w:firstLineChars="200"/>
        <w:rPr>
          <w:rStyle w:val="43"/>
          <w:rFonts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欢迎参加本采购项目的比选。为了保证本次比选顺利进行，请在制作响应文件之前，仔细阅读本比选文件的各项条款，并按要求制作和递交响应文件。谢谢合作！</w:t>
      </w:r>
    </w:p>
    <w:p w14:paraId="3F6D1BD6">
      <w:pPr>
        <w:pStyle w:val="96"/>
        <w:shd w:val="clear"/>
        <w:snapToGrid w:val="0"/>
        <w:rPr>
          <w:rStyle w:val="43"/>
          <w:rFonts w:ascii="宋体" w:hAnsi="宋体" w:eastAsia="宋体" w:cs="宋体"/>
          <w:color w:val="auto"/>
          <w:sz w:val="21"/>
          <w:szCs w:val="21"/>
          <w:highlight w:val="none"/>
        </w:rPr>
      </w:pPr>
    </w:p>
    <w:p w14:paraId="2A016691">
      <w:pPr>
        <w:shd w:val="clear"/>
        <w:tabs>
          <w:tab w:val="left" w:pos="1050"/>
          <w:tab w:val="right" w:leader="dot" w:pos="9402"/>
        </w:tabs>
        <w:snapToGrid w:val="0"/>
        <w:spacing w:line="520" w:lineRule="exact"/>
        <w:jc w:val="center"/>
        <w:rPr>
          <w:rStyle w:val="43"/>
          <w:rFonts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第一章  比选通告</w:t>
      </w:r>
    </w:p>
    <w:p w14:paraId="28EB99A3">
      <w:pPr>
        <w:shd w:val="clear"/>
        <w:snapToGrid w:val="0"/>
        <w:ind w:firstLine="420" w:firstLineChars="200"/>
        <w:rPr>
          <w:rStyle w:val="43"/>
          <w:rFonts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u w:val="single" w:color="000000"/>
        </w:rPr>
        <w:t>南通市疾病预防控制中心</w:t>
      </w:r>
      <w:r>
        <w:rPr>
          <w:rStyle w:val="43"/>
          <w:rFonts w:hint="eastAsia" w:ascii="宋体" w:hAnsi="宋体" w:eastAsia="宋体" w:cs="宋体"/>
          <w:bCs/>
          <w:color w:val="auto"/>
          <w:sz w:val="21"/>
          <w:szCs w:val="21"/>
          <w:highlight w:val="none"/>
        </w:rPr>
        <w:t>（以下称采购人）就</w:t>
      </w:r>
      <w:r>
        <w:rPr>
          <w:rStyle w:val="43"/>
          <w:rFonts w:hint="eastAsia" w:ascii="宋体" w:hAnsi="宋体" w:eastAsia="宋体" w:cs="宋体"/>
          <w:bCs/>
          <w:color w:val="auto"/>
          <w:sz w:val="21"/>
          <w:szCs w:val="21"/>
          <w:highlight w:val="none"/>
          <w:u w:val="single"/>
          <w:lang w:val="en-US" w:eastAsia="zh-CN"/>
        </w:rPr>
        <w:t>超低温</w:t>
      </w:r>
      <w:r>
        <w:rPr>
          <w:rStyle w:val="43"/>
          <w:rFonts w:hint="eastAsia" w:ascii="宋体" w:hAnsi="宋体" w:eastAsia="宋体" w:cs="宋体"/>
          <w:bCs/>
          <w:color w:val="auto"/>
          <w:sz w:val="21"/>
          <w:szCs w:val="21"/>
          <w:highlight w:val="none"/>
          <w:u w:val="single"/>
          <w:lang w:eastAsia="zh-CN"/>
        </w:rPr>
        <w:t>冰箱采购项目</w:t>
      </w:r>
      <w:r>
        <w:rPr>
          <w:rStyle w:val="43"/>
          <w:rFonts w:hint="eastAsia" w:ascii="宋体" w:hAnsi="宋体" w:eastAsia="宋体" w:cs="宋体"/>
          <w:bCs/>
          <w:color w:val="auto"/>
          <w:sz w:val="21"/>
          <w:szCs w:val="21"/>
          <w:highlight w:val="none"/>
        </w:rPr>
        <w:t>组织比选采购，诚邀符合条件的潜在供应商参加比选。</w:t>
      </w:r>
    </w:p>
    <w:p w14:paraId="63020186">
      <w:pPr>
        <w:shd w:val="clear"/>
        <w:snapToGrid w:val="0"/>
        <w:ind w:firstLine="420" w:firstLineChars="200"/>
        <w:rPr>
          <w:rStyle w:val="43"/>
          <w:rFonts w:ascii="宋体" w:hAnsi="宋体" w:eastAsia="宋体" w:cs="宋体"/>
          <w:b/>
          <w:bCs/>
          <w:color w:val="auto"/>
          <w:sz w:val="21"/>
          <w:szCs w:val="21"/>
          <w:highlight w:val="none"/>
        </w:rPr>
      </w:pPr>
      <w:r>
        <w:rPr>
          <w:rStyle w:val="43"/>
          <w:rFonts w:hint="eastAsia" w:ascii="宋体" w:hAnsi="宋体" w:eastAsia="宋体" w:cs="宋体"/>
          <w:b/>
          <w:bCs/>
          <w:color w:val="auto"/>
          <w:sz w:val="21"/>
          <w:szCs w:val="21"/>
          <w:highlight w:val="none"/>
        </w:rPr>
        <w:t>一、项目基本情况</w:t>
      </w:r>
    </w:p>
    <w:p w14:paraId="03432B59">
      <w:pPr>
        <w:shd w:val="clear"/>
        <w:snapToGrid w:val="0"/>
        <w:ind w:firstLine="420" w:firstLineChars="200"/>
        <w:rPr>
          <w:rStyle w:val="43"/>
          <w:rFonts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rPr>
        <w:t>1.项目名称：</w:t>
      </w:r>
      <w:r>
        <w:rPr>
          <w:rStyle w:val="43"/>
          <w:rFonts w:hint="eastAsia" w:ascii="宋体" w:hAnsi="宋体" w:eastAsia="宋体" w:cs="宋体"/>
          <w:bCs/>
          <w:color w:val="auto"/>
          <w:sz w:val="21"/>
          <w:szCs w:val="21"/>
          <w:highlight w:val="none"/>
          <w:lang w:eastAsia="zh-CN"/>
        </w:rPr>
        <w:t>南通市疾病预防控制中心</w:t>
      </w:r>
      <w:r>
        <w:rPr>
          <w:rStyle w:val="43"/>
          <w:rFonts w:hint="eastAsia" w:ascii="宋体" w:hAnsi="宋体" w:eastAsia="宋体" w:cs="宋体"/>
          <w:bCs/>
          <w:color w:val="auto"/>
          <w:sz w:val="21"/>
          <w:szCs w:val="21"/>
          <w:highlight w:val="none"/>
          <w:lang w:val="en-US" w:eastAsia="zh-CN"/>
        </w:rPr>
        <w:t>超低温</w:t>
      </w:r>
      <w:r>
        <w:rPr>
          <w:rStyle w:val="43"/>
          <w:rFonts w:hint="eastAsia" w:ascii="宋体" w:hAnsi="宋体" w:eastAsia="宋体" w:cs="宋体"/>
          <w:bCs/>
          <w:color w:val="auto"/>
          <w:sz w:val="21"/>
          <w:szCs w:val="21"/>
          <w:highlight w:val="none"/>
          <w:lang w:eastAsia="zh-CN"/>
        </w:rPr>
        <w:t>冰箱采购项目</w:t>
      </w:r>
      <w:r>
        <w:rPr>
          <w:rStyle w:val="43"/>
          <w:rFonts w:hint="eastAsia" w:ascii="宋体" w:hAnsi="宋体" w:eastAsia="宋体" w:cs="宋体"/>
          <w:bCs/>
          <w:color w:val="auto"/>
          <w:sz w:val="21"/>
          <w:szCs w:val="21"/>
          <w:highlight w:val="none"/>
        </w:rPr>
        <w:t>；</w:t>
      </w:r>
    </w:p>
    <w:p w14:paraId="5A4F474F">
      <w:pPr>
        <w:shd w:val="clear"/>
        <w:snapToGrid w:val="0"/>
        <w:ind w:firstLine="420" w:firstLineChars="200"/>
        <w:rPr>
          <w:rStyle w:val="43"/>
          <w:rFonts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rPr>
        <w:t xml:space="preserve">2.采购方式：比选； </w:t>
      </w:r>
      <w:bookmarkStart w:id="2" w:name="_GoBack"/>
      <w:bookmarkEnd w:id="2"/>
    </w:p>
    <w:p w14:paraId="117FEBD9">
      <w:pPr>
        <w:shd w:val="clear"/>
        <w:snapToGrid w:val="0"/>
        <w:ind w:firstLine="420" w:firstLineChars="200"/>
        <w:rPr>
          <w:rStyle w:val="43"/>
          <w:rFonts w:hint="default"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rPr>
        <w:t>3.</w:t>
      </w:r>
      <w:r>
        <w:rPr>
          <w:rStyle w:val="43"/>
          <w:rFonts w:hint="eastAsia" w:ascii="宋体" w:hAnsi="宋体" w:eastAsia="宋体" w:cs="宋体"/>
          <w:bCs/>
          <w:color w:val="auto"/>
          <w:sz w:val="21"/>
          <w:szCs w:val="21"/>
          <w:highlight w:val="none"/>
          <w:lang w:val="en-US" w:eastAsia="zh-CN"/>
        </w:rPr>
        <w:t>项目预算：5万元；</w:t>
      </w:r>
    </w:p>
    <w:p w14:paraId="370EA3DF">
      <w:pPr>
        <w:shd w:val="clear"/>
        <w:snapToGrid w:val="0"/>
        <w:ind w:firstLine="420" w:firstLineChars="200"/>
        <w:rPr>
          <w:rStyle w:val="43"/>
          <w:rFonts w:hint="default"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4.</w:t>
      </w:r>
      <w:r>
        <w:rPr>
          <w:rStyle w:val="43"/>
          <w:rFonts w:hint="eastAsia" w:ascii="宋体" w:hAnsi="宋体" w:eastAsia="宋体" w:cs="宋体"/>
          <w:bCs/>
          <w:color w:val="auto"/>
          <w:sz w:val="21"/>
          <w:szCs w:val="21"/>
          <w:highlight w:val="none"/>
        </w:rPr>
        <w:t>最高限价：</w:t>
      </w:r>
      <w:r>
        <w:rPr>
          <w:rStyle w:val="43"/>
          <w:rFonts w:hint="eastAsia" w:ascii="宋体" w:hAnsi="宋体" w:eastAsia="宋体" w:cs="宋体"/>
          <w:bCs/>
          <w:color w:val="auto"/>
          <w:sz w:val="21"/>
          <w:szCs w:val="21"/>
          <w:highlight w:val="none"/>
          <w:lang w:val="en-US" w:eastAsia="zh-CN"/>
        </w:rPr>
        <w:t>5万元；</w:t>
      </w:r>
    </w:p>
    <w:p w14:paraId="539EE123">
      <w:pPr>
        <w:shd w:val="clear"/>
        <w:snapToGrid w:val="0"/>
        <w:ind w:firstLine="420" w:firstLineChars="200"/>
        <w:rPr>
          <w:rStyle w:val="43"/>
          <w:rFonts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lang w:val="en-US" w:eastAsia="zh-CN"/>
        </w:rPr>
        <w:t>5</w:t>
      </w:r>
      <w:r>
        <w:rPr>
          <w:rStyle w:val="43"/>
          <w:rFonts w:hint="eastAsia" w:ascii="宋体" w:hAnsi="宋体" w:eastAsia="宋体" w:cs="宋体"/>
          <w:bCs/>
          <w:color w:val="auto"/>
          <w:sz w:val="21"/>
          <w:szCs w:val="21"/>
          <w:highlight w:val="none"/>
        </w:rPr>
        <w:t>.项目需求：详见比选文件第三章；</w:t>
      </w:r>
    </w:p>
    <w:p w14:paraId="6AF8C6B3">
      <w:pPr>
        <w:shd w:val="clear"/>
        <w:snapToGrid w:val="0"/>
        <w:ind w:firstLine="420" w:firstLineChars="200"/>
        <w:rPr>
          <w:rStyle w:val="43"/>
          <w:rFonts w:hint="eastAsia"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lang w:val="en-US" w:eastAsia="zh-CN"/>
        </w:rPr>
        <w:t>6</w:t>
      </w:r>
      <w:r>
        <w:rPr>
          <w:rStyle w:val="43"/>
          <w:rFonts w:hint="eastAsia" w:ascii="宋体" w:hAnsi="宋体" w:eastAsia="宋体" w:cs="宋体"/>
          <w:bCs/>
          <w:color w:val="auto"/>
          <w:sz w:val="21"/>
          <w:szCs w:val="21"/>
          <w:highlight w:val="none"/>
        </w:rPr>
        <w:t>.供货期：</w:t>
      </w:r>
      <w:r>
        <w:rPr>
          <w:rStyle w:val="43"/>
          <w:rFonts w:hint="eastAsia" w:ascii="宋体" w:hAnsi="宋体" w:eastAsia="宋体" w:cs="宋体"/>
          <w:bCs/>
          <w:color w:val="auto"/>
          <w:sz w:val="21"/>
          <w:szCs w:val="21"/>
          <w:highlight w:val="none"/>
          <w:lang w:val="en-US" w:eastAsia="zh-CN"/>
        </w:rPr>
        <w:t>在合同签订后15日内送达采购人指定地点</w:t>
      </w:r>
      <w:r>
        <w:rPr>
          <w:rStyle w:val="43"/>
          <w:rFonts w:hint="eastAsia" w:ascii="宋体" w:hAnsi="宋体" w:eastAsia="宋体" w:cs="宋体"/>
          <w:bCs/>
          <w:color w:val="auto"/>
          <w:sz w:val="21"/>
          <w:szCs w:val="21"/>
          <w:highlight w:val="none"/>
        </w:rPr>
        <w:t>；</w:t>
      </w:r>
    </w:p>
    <w:p w14:paraId="4D705A97">
      <w:pPr>
        <w:shd w:val="clear"/>
        <w:snapToGrid w:val="0"/>
        <w:ind w:firstLine="420" w:firstLineChars="200"/>
        <w:rPr>
          <w:rStyle w:val="43"/>
          <w:rFonts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lang w:val="en-US" w:eastAsia="zh-CN"/>
        </w:rPr>
        <w:t>7</w:t>
      </w:r>
      <w:r>
        <w:rPr>
          <w:rStyle w:val="43"/>
          <w:rFonts w:hint="eastAsia" w:ascii="宋体" w:hAnsi="宋体" w:eastAsia="宋体" w:cs="宋体"/>
          <w:bCs/>
          <w:color w:val="auto"/>
          <w:sz w:val="21"/>
          <w:szCs w:val="21"/>
          <w:highlight w:val="none"/>
        </w:rPr>
        <w:t>.本项目不接受联合体参与比选。</w:t>
      </w:r>
    </w:p>
    <w:p w14:paraId="198B6850">
      <w:pPr>
        <w:shd w:val="clear"/>
        <w:snapToGrid w:val="0"/>
        <w:ind w:firstLine="420" w:firstLineChars="200"/>
        <w:jc w:val="left"/>
        <w:rPr>
          <w:rStyle w:val="43"/>
          <w:rFonts w:ascii="宋体" w:hAnsi="宋体" w:eastAsia="宋体" w:cs="宋体"/>
          <w:b/>
          <w:bCs/>
          <w:color w:val="auto"/>
          <w:kern w:val="0"/>
          <w:sz w:val="21"/>
          <w:szCs w:val="21"/>
          <w:highlight w:val="none"/>
        </w:rPr>
      </w:pPr>
      <w:r>
        <w:rPr>
          <w:rStyle w:val="43"/>
          <w:rFonts w:hint="eastAsia" w:ascii="宋体" w:hAnsi="宋体" w:eastAsia="宋体" w:cs="宋体"/>
          <w:b/>
          <w:bCs/>
          <w:color w:val="auto"/>
          <w:kern w:val="0"/>
          <w:sz w:val="21"/>
          <w:szCs w:val="21"/>
          <w:highlight w:val="none"/>
        </w:rPr>
        <w:t>二、申请人的资格要求：</w:t>
      </w:r>
    </w:p>
    <w:p w14:paraId="24A94C51">
      <w:pPr>
        <w:shd w:val="clear"/>
        <w:snapToGrid w:val="0"/>
        <w:ind w:firstLine="420" w:firstLineChars="200"/>
        <w:rPr>
          <w:rStyle w:val="43"/>
          <w:rFonts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rPr>
        <w:t>1.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p>
    <w:p w14:paraId="4F41EDA9">
      <w:pPr>
        <w:shd w:val="clear"/>
        <w:snapToGrid w:val="0"/>
        <w:ind w:firstLine="420" w:firstLineChars="200"/>
        <w:rPr>
          <w:rStyle w:val="43"/>
          <w:rFonts w:ascii="宋体" w:hAnsi="宋体" w:eastAsia="宋体" w:cs="宋体"/>
          <w:color w:val="auto"/>
          <w:sz w:val="21"/>
          <w:szCs w:val="21"/>
          <w:highlight w:val="none"/>
        </w:rPr>
      </w:pPr>
      <w:r>
        <w:rPr>
          <w:rStyle w:val="43"/>
          <w:rFonts w:hint="eastAsia" w:ascii="宋体" w:hAnsi="宋体" w:eastAsia="宋体" w:cs="宋体"/>
          <w:b/>
          <w:color w:val="auto"/>
          <w:sz w:val="21"/>
          <w:szCs w:val="21"/>
          <w:highlight w:val="none"/>
        </w:rPr>
        <w:t>供应商其它资格要求：</w:t>
      </w:r>
    </w:p>
    <w:p w14:paraId="4BD7FC12">
      <w:pPr>
        <w:shd w:val="clear"/>
        <w:snapToGrid w:val="0"/>
        <w:ind w:firstLine="420" w:firstLineChars="200"/>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2.供应商提供有效的营业执照等具有独立承担民事责任能力的证明材料复印件。</w:t>
      </w:r>
    </w:p>
    <w:p w14:paraId="1016909E">
      <w:pPr>
        <w:pStyle w:val="108"/>
        <w:shd w:val="clear"/>
        <w:ind w:firstLine="420"/>
        <w:rPr>
          <w:rStyle w:val="43"/>
          <w:rFonts w:hAnsi="宋体" w:cs="宋体"/>
          <w:color w:val="auto"/>
          <w:sz w:val="21"/>
          <w:szCs w:val="21"/>
          <w:highlight w:val="none"/>
        </w:rPr>
      </w:pPr>
      <w:r>
        <w:rPr>
          <w:rStyle w:val="43"/>
          <w:rFonts w:hint="eastAsia" w:hAnsi="宋体" w:cs="宋体"/>
          <w:color w:val="auto"/>
          <w:sz w:val="21"/>
          <w:szCs w:val="21"/>
          <w:highlight w:val="none"/>
        </w:rPr>
        <w:t>3.供应商法定代表人参加比选的，必须提供法定代表人身份证明及法定代表人本人身份证复印件；非法定代表人参加比选的，必须提供法定代表人签名或盖章的授权委托书及法定代表人和被授权人两个人的身份证复印件（格式参见第七章）。</w:t>
      </w:r>
    </w:p>
    <w:p w14:paraId="0CB46260">
      <w:pPr>
        <w:pStyle w:val="96"/>
        <w:shd w:val="clear"/>
        <w:snapToGrid w:val="0"/>
        <w:spacing w:line="360" w:lineRule="auto"/>
        <w:ind w:left="0"/>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4.</w:t>
      </w:r>
      <w:bookmarkStart w:id="0" w:name="OLE_LINK2"/>
      <w:r>
        <w:rPr>
          <w:rStyle w:val="43"/>
          <w:rFonts w:hint="eastAsia" w:ascii="宋体" w:hAnsi="宋体" w:eastAsia="宋体" w:cs="宋体"/>
          <w:color w:val="auto"/>
          <w:sz w:val="21"/>
          <w:szCs w:val="21"/>
          <w:highlight w:val="none"/>
        </w:rPr>
        <w:t>供应商须提供</w:t>
      </w:r>
      <w:bookmarkEnd w:id="0"/>
      <w:r>
        <w:rPr>
          <w:rStyle w:val="43"/>
          <w:rFonts w:hint="eastAsia" w:ascii="宋体" w:hAnsi="宋体" w:eastAsia="宋体" w:cs="宋体"/>
          <w:color w:val="auto"/>
          <w:sz w:val="21"/>
          <w:szCs w:val="21"/>
          <w:highlight w:val="none"/>
        </w:rPr>
        <w:t>参与本次项目采购活动前三年内，在经营活动中没有重大违法记录的书面《无重大违法记录声明函》（格式参见第七章）。</w:t>
      </w:r>
    </w:p>
    <w:p w14:paraId="64ED0C46">
      <w:pPr>
        <w:pStyle w:val="96"/>
        <w:shd w:val="clear"/>
        <w:snapToGrid w:val="0"/>
        <w:spacing w:line="360" w:lineRule="auto"/>
        <w:ind w:left="0"/>
        <w:rPr>
          <w:rStyle w:val="43"/>
          <w:rFonts w:ascii="宋体" w:hAnsi="宋体" w:eastAsia="宋体" w:cs="宋体"/>
          <w:color w:val="auto"/>
          <w:sz w:val="21"/>
          <w:szCs w:val="21"/>
          <w:highlight w:val="none"/>
        </w:rPr>
      </w:pPr>
      <w:r>
        <w:rPr>
          <w:rStyle w:val="43"/>
          <w:rFonts w:ascii="宋体" w:hAnsi="宋体" w:eastAsia="宋体" w:cs="宋体"/>
          <w:color w:val="auto"/>
          <w:sz w:val="21"/>
          <w:szCs w:val="21"/>
          <w:highlight w:val="none"/>
        </w:rPr>
        <w:t>5</w:t>
      </w:r>
      <w:r>
        <w:rPr>
          <w:rStyle w:val="43"/>
          <w:rFonts w:hint="eastAsia" w:ascii="宋体" w:hAnsi="宋体" w:eastAsia="宋体" w:cs="宋体"/>
          <w:color w:val="auto"/>
          <w:sz w:val="21"/>
          <w:szCs w:val="21"/>
          <w:highlight w:val="none"/>
        </w:rPr>
        <w:t>.关于资格文件的声明函（格式参见第七章）。</w:t>
      </w:r>
    </w:p>
    <w:p w14:paraId="68CCD7F1">
      <w:pPr>
        <w:pStyle w:val="96"/>
        <w:shd w:val="clear"/>
        <w:snapToGrid w:val="0"/>
        <w:spacing w:line="360" w:lineRule="auto"/>
        <w:ind w:left="0" w:firstLine="422"/>
        <w:rPr>
          <w:rStyle w:val="43"/>
          <w:rFonts w:ascii="宋体" w:hAnsi="宋体" w:eastAsia="宋体" w:cs="宋体"/>
          <w:b/>
          <w:color w:val="auto"/>
          <w:sz w:val="21"/>
          <w:szCs w:val="21"/>
          <w:highlight w:val="none"/>
          <w:u w:val="single"/>
        </w:rPr>
      </w:pPr>
      <w:r>
        <w:rPr>
          <w:rStyle w:val="43"/>
          <w:rFonts w:hint="eastAsia" w:ascii="宋体" w:hAnsi="宋体" w:eastAsia="宋体" w:cs="宋体"/>
          <w:b/>
          <w:color w:val="auto"/>
          <w:sz w:val="21"/>
          <w:szCs w:val="21"/>
          <w:highlight w:val="none"/>
          <w:u w:val="single" w:color="000000"/>
        </w:rPr>
        <w:t>具体详见本比选文件《第七章 响应文件组成及格式》中的资格审查文件要求。</w:t>
      </w:r>
    </w:p>
    <w:p w14:paraId="24178A76">
      <w:pPr>
        <w:pStyle w:val="96"/>
        <w:shd w:val="clear"/>
        <w:snapToGrid w:val="0"/>
        <w:spacing w:line="360" w:lineRule="auto"/>
        <w:ind w:left="0" w:firstLine="422"/>
        <w:rPr>
          <w:rStyle w:val="43"/>
          <w:rFonts w:ascii="宋体" w:hAnsi="宋体" w:eastAsia="宋体" w:cs="宋体"/>
          <w:b/>
          <w:color w:val="auto"/>
          <w:sz w:val="21"/>
          <w:szCs w:val="21"/>
          <w:highlight w:val="none"/>
          <w:u w:val="single"/>
        </w:rPr>
      </w:pPr>
      <w:r>
        <w:rPr>
          <w:rStyle w:val="43"/>
          <w:rFonts w:hint="eastAsia" w:ascii="宋体" w:hAnsi="宋体" w:eastAsia="宋体" w:cs="宋体"/>
          <w:b/>
          <w:color w:val="auto"/>
          <w:sz w:val="21"/>
          <w:szCs w:val="21"/>
          <w:highlight w:val="none"/>
          <w:u w:val="single" w:color="000000"/>
        </w:rPr>
        <w:t>请供应商认真对照资格条件，如不符合要求的，无意或故意参与比选所产生的一切后果由供应商自行承担，开标过程中，供应商提供的相关证件为虚假或伪造，或者其他人员持法定代表人或授权委托人的身份证参与比选，一经发现则取消供应商资格，该供应商将记入不良记录。</w:t>
      </w:r>
    </w:p>
    <w:p w14:paraId="6C2D899D">
      <w:pPr>
        <w:pStyle w:val="96"/>
        <w:shd w:val="clear"/>
        <w:snapToGrid w:val="0"/>
        <w:spacing w:line="360" w:lineRule="auto"/>
        <w:ind w:left="0" w:firstLine="422"/>
        <w:rPr>
          <w:rStyle w:val="43"/>
          <w:rFonts w:ascii="宋体" w:hAnsi="宋体" w:eastAsia="宋体" w:cs="宋体"/>
          <w:b/>
          <w:color w:val="auto"/>
          <w:sz w:val="21"/>
          <w:szCs w:val="21"/>
          <w:highlight w:val="none"/>
          <w:u w:val="single" w:color="000000"/>
        </w:rPr>
      </w:pPr>
      <w:r>
        <w:rPr>
          <w:rStyle w:val="43"/>
          <w:rFonts w:hint="eastAsia" w:ascii="宋体" w:hAnsi="宋体" w:eastAsia="宋体" w:cs="宋体"/>
          <w:b/>
          <w:color w:val="auto"/>
          <w:sz w:val="21"/>
          <w:szCs w:val="21"/>
          <w:highlight w:val="none"/>
          <w:u w:val="single" w:color="000000"/>
        </w:rPr>
        <w:t>【特别提醒】单位负责人为同一人或者存在直接控股、管理关系的不同供应商，不得参加同一合同项下的采购活动。为采购项目提供整体设计、规范编制或者项目管理、监理、检测等服务的供应商，不得再参加该采购项目的其他采购活动；如发现供应商递交的资格后审材料有弄虚作假行为，该供应商将记入不良记录，并上报有关部门，如已中选，采购人有权取消其中选资格，并由该供应商承担由此带来可能的一切责任和损失。</w:t>
      </w:r>
    </w:p>
    <w:p w14:paraId="4BBC05CC">
      <w:pPr>
        <w:shd w:val="clear"/>
        <w:snapToGrid w:val="0"/>
        <w:ind w:firstLine="420" w:firstLineChars="200"/>
        <w:rPr>
          <w:rStyle w:val="43"/>
          <w:rFonts w:ascii="宋体" w:hAnsi="宋体" w:eastAsia="宋体" w:cs="宋体"/>
          <w:b/>
          <w:bCs/>
          <w:color w:val="auto"/>
          <w:sz w:val="21"/>
          <w:szCs w:val="21"/>
          <w:highlight w:val="none"/>
        </w:rPr>
      </w:pPr>
      <w:r>
        <w:rPr>
          <w:rStyle w:val="43"/>
          <w:rFonts w:hint="eastAsia" w:ascii="宋体" w:hAnsi="宋体" w:eastAsia="宋体" w:cs="宋体"/>
          <w:b/>
          <w:bCs/>
          <w:color w:val="auto"/>
          <w:sz w:val="21"/>
          <w:szCs w:val="21"/>
          <w:highlight w:val="none"/>
        </w:rPr>
        <w:t>三、获取采购文件</w:t>
      </w:r>
    </w:p>
    <w:p w14:paraId="00EBA60B">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lang w:eastAsia="zh-CN"/>
        </w:rPr>
      </w:pPr>
      <w:r>
        <w:rPr>
          <w:rStyle w:val="43"/>
          <w:rFonts w:hint="eastAsia" w:ascii="宋体" w:hAnsi="宋体" w:eastAsia="宋体" w:cs="宋体"/>
          <w:color w:val="auto"/>
          <w:sz w:val="21"/>
          <w:szCs w:val="21"/>
          <w:highlight w:val="none"/>
        </w:rPr>
        <w:t>1.地点：</w:t>
      </w:r>
      <w:r>
        <w:rPr>
          <w:rStyle w:val="43"/>
          <w:rFonts w:hint="eastAsia" w:ascii="宋体" w:hAnsi="宋体" w:eastAsia="宋体" w:cs="宋体"/>
          <w:color w:val="auto"/>
          <w:sz w:val="21"/>
          <w:szCs w:val="21"/>
          <w:highlight w:val="none"/>
          <w:lang w:eastAsia="zh-CN"/>
        </w:rPr>
        <w:t>南通市疾病预防控制中心</w:t>
      </w:r>
      <w:r>
        <w:rPr>
          <w:rStyle w:val="43"/>
          <w:rFonts w:hint="eastAsia" w:ascii="宋体" w:hAnsi="宋体" w:eastAsia="宋体" w:cs="宋体"/>
          <w:color w:val="auto"/>
          <w:sz w:val="21"/>
          <w:szCs w:val="21"/>
          <w:highlight w:val="none"/>
          <w:lang w:val="en-US" w:eastAsia="zh-CN"/>
        </w:rPr>
        <w:t>官网</w:t>
      </w:r>
      <w:r>
        <w:rPr>
          <w:rStyle w:val="43"/>
          <w:rFonts w:hint="eastAsia" w:ascii="宋体" w:hAnsi="宋体" w:eastAsia="宋体" w:cs="宋体"/>
          <w:color w:val="auto"/>
          <w:sz w:val="21"/>
          <w:szCs w:val="21"/>
          <w:highlight w:val="none"/>
          <w:lang w:eastAsia="zh-CN"/>
        </w:rPr>
        <w:t>。</w:t>
      </w:r>
    </w:p>
    <w:p w14:paraId="4B0F51BF">
      <w:pPr>
        <w:shd w:val="clear"/>
        <w:snapToGrid w:val="0"/>
        <w:ind w:firstLine="420" w:firstLineChars="200"/>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2</w:t>
      </w:r>
      <w:r>
        <w:rPr>
          <w:rStyle w:val="43"/>
          <w:rFonts w:hint="eastAsia" w:ascii="宋体" w:hAnsi="宋体" w:eastAsia="宋体" w:cs="宋体"/>
          <w:color w:val="auto"/>
          <w:sz w:val="21"/>
          <w:szCs w:val="21"/>
          <w:highlight w:val="none"/>
          <w:lang w:eastAsia="zh-CN"/>
        </w:rPr>
        <w:t>.</w:t>
      </w:r>
      <w:r>
        <w:rPr>
          <w:rStyle w:val="43"/>
          <w:rFonts w:hint="eastAsia" w:ascii="宋体" w:hAnsi="宋体" w:eastAsia="宋体" w:cs="宋体"/>
          <w:color w:val="auto"/>
          <w:sz w:val="21"/>
          <w:szCs w:val="21"/>
          <w:highlight w:val="none"/>
        </w:rPr>
        <w:t>方式：</w:t>
      </w:r>
      <w:r>
        <w:rPr>
          <w:rStyle w:val="43"/>
          <w:rFonts w:hint="eastAsia" w:ascii="宋体" w:hAnsi="宋体" w:eastAsia="宋体" w:cs="宋体"/>
          <w:color w:val="auto"/>
          <w:sz w:val="21"/>
          <w:szCs w:val="21"/>
          <w:highlight w:val="none"/>
          <w:lang w:val="en-US" w:eastAsia="zh-CN"/>
        </w:rPr>
        <w:t>直接下载</w:t>
      </w:r>
      <w:r>
        <w:rPr>
          <w:rStyle w:val="43"/>
          <w:rFonts w:hint="eastAsia" w:ascii="宋体" w:hAnsi="宋体" w:eastAsia="宋体" w:cs="宋体"/>
          <w:color w:val="auto"/>
          <w:sz w:val="21"/>
          <w:szCs w:val="21"/>
          <w:highlight w:val="none"/>
        </w:rPr>
        <w:t>。</w:t>
      </w:r>
    </w:p>
    <w:p w14:paraId="0D837D7D">
      <w:pPr>
        <w:shd w:val="clear"/>
        <w:snapToGrid w:val="0"/>
        <w:ind w:firstLine="420" w:firstLineChars="200"/>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3</w:t>
      </w:r>
      <w:r>
        <w:rPr>
          <w:rStyle w:val="43"/>
          <w:rFonts w:hint="eastAsia" w:ascii="宋体" w:hAnsi="宋体" w:eastAsia="宋体" w:cs="宋体"/>
          <w:color w:val="auto"/>
          <w:sz w:val="21"/>
          <w:szCs w:val="21"/>
          <w:highlight w:val="none"/>
        </w:rPr>
        <w:t>.有关本次比选的事项若存在变动或修改，敬请及时关注“</w:t>
      </w:r>
      <w:r>
        <w:rPr>
          <w:rStyle w:val="43"/>
          <w:rFonts w:hint="eastAsia" w:ascii="宋体" w:hAnsi="宋体" w:eastAsia="宋体" w:cs="宋体"/>
          <w:b/>
          <w:bCs/>
          <w:color w:val="auto"/>
          <w:sz w:val="21"/>
          <w:szCs w:val="21"/>
          <w:highlight w:val="none"/>
        </w:rPr>
        <w:t>南通市疾病预防控制中心</w:t>
      </w:r>
      <w:r>
        <w:rPr>
          <w:rStyle w:val="43"/>
          <w:rFonts w:hint="eastAsia" w:ascii="宋体" w:hAnsi="宋体" w:eastAsia="宋体" w:cs="宋体"/>
          <w:color w:val="auto"/>
          <w:sz w:val="21"/>
          <w:szCs w:val="21"/>
          <w:highlight w:val="none"/>
        </w:rPr>
        <w:t>”发布的信息更正通告，恕不另行通知，如有遗漏比选采购单位概不负责。</w:t>
      </w:r>
    </w:p>
    <w:p w14:paraId="4A69B86C">
      <w:pPr>
        <w:pStyle w:val="96"/>
        <w:shd w:val="clear"/>
        <w:snapToGrid w:val="0"/>
        <w:spacing w:line="360" w:lineRule="auto"/>
        <w:ind w:left="0" w:firstLine="422"/>
        <w:rPr>
          <w:rStyle w:val="43"/>
          <w:rFonts w:ascii="宋体" w:hAnsi="宋体" w:eastAsia="宋体" w:cs="宋体"/>
          <w:b/>
          <w:bCs/>
          <w:color w:val="auto"/>
          <w:sz w:val="21"/>
          <w:szCs w:val="21"/>
          <w:highlight w:val="none"/>
        </w:rPr>
      </w:pPr>
      <w:r>
        <w:rPr>
          <w:rStyle w:val="43"/>
          <w:rFonts w:hint="eastAsia" w:ascii="宋体" w:hAnsi="宋体" w:eastAsia="宋体" w:cs="宋体"/>
          <w:b/>
          <w:color w:val="auto"/>
          <w:sz w:val="21"/>
          <w:szCs w:val="21"/>
          <w:highlight w:val="none"/>
        </w:rPr>
        <w:t>四、</w:t>
      </w:r>
      <w:r>
        <w:rPr>
          <w:rStyle w:val="43"/>
          <w:rFonts w:hint="eastAsia" w:ascii="宋体" w:hAnsi="宋体" w:eastAsia="宋体" w:cs="宋体"/>
          <w:b/>
          <w:bCs/>
          <w:color w:val="auto"/>
          <w:sz w:val="21"/>
          <w:szCs w:val="21"/>
          <w:highlight w:val="none"/>
        </w:rPr>
        <w:t>提交响应文件截止时间、开标时间和地点</w:t>
      </w:r>
    </w:p>
    <w:p w14:paraId="1EDF8A49">
      <w:pPr>
        <w:shd w:val="clear"/>
        <w:snapToGrid w:val="0"/>
        <w:ind w:firstLine="420" w:firstLineChars="200"/>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1.响应文件接收截止及评审开始时间：</w:t>
      </w:r>
      <w:r>
        <w:rPr>
          <w:rStyle w:val="43"/>
          <w:rFonts w:hint="eastAsia" w:ascii="宋体" w:hAnsi="宋体" w:eastAsia="宋体" w:cs="宋体"/>
          <w:b/>
          <w:color w:val="auto"/>
          <w:sz w:val="21"/>
          <w:szCs w:val="21"/>
          <w:highlight w:val="none"/>
        </w:rPr>
        <w:t>2025年</w:t>
      </w:r>
      <w:r>
        <w:rPr>
          <w:rStyle w:val="43"/>
          <w:rFonts w:hint="eastAsia" w:ascii="宋体" w:hAnsi="宋体" w:eastAsia="宋体" w:cs="宋体"/>
          <w:b/>
          <w:color w:val="auto"/>
          <w:sz w:val="21"/>
          <w:szCs w:val="21"/>
          <w:highlight w:val="none"/>
          <w:lang w:val="en-US" w:eastAsia="zh-CN"/>
        </w:rPr>
        <w:t>11</w:t>
      </w:r>
      <w:r>
        <w:rPr>
          <w:rStyle w:val="43"/>
          <w:rFonts w:hint="eastAsia" w:ascii="宋体" w:hAnsi="宋体" w:eastAsia="宋体" w:cs="宋体"/>
          <w:b/>
          <w:color w:val="auto"/>
          <w:sz w:val="21"/>
          <w:szCs w:val="21"/>
          <w:highlight w:val="none"/>
        </w:rPr>
        <w:t>月</w:t>
      </w:r>
      <w:r>
        <w:rPr>
          <w:rStyle w:val="43"/>
          <w:rFonts w:hint="eastAsia" w:ascii="宋体" w:hAnsi="宋体" w:eastAsia="宋体" w:cs="宋体"/>
          <w:b/>
          <w:color w:val="auto"/>
          <w:sz w:val="21"/>
          <w:szCs w:val="21"/>
          <w:highlight w:val="none"/>
          <w:lang w:val="en-US" w:eastAsia="zh-CN"/>
        </w:rPr>
        <w:t>18</w:t>
      </w:r>
      <w:r>
        <w:rPr>
          <w:rStyle w:val="43"/>
          <w:rFonts w:hint="eastAsia" w:ascii="宋体" w:hAnsi="宋体" w:eastAsia="宋体" w:cs="宋体"/>
          <w:b/>
          <w:color w:val="auto"/>
          <w:sz w:val="21"/>
          <w:szCs w:val="21"/>
          <w:highlight w:val="none"/>
        </w:rPr>
        <w:t>日</w:t>
      </w:r>
      <w:r>
        <w:rPr>
          <w:rStyle w:val="43"/>
          <w:rFonts w:hint="eastAsia" w:ascii="宋体" w:hAnsi="宋体" w:eastAsia="宋体" w:cs="宋体"/>
          <w:b/>
          <w:color w:val="auto"/>
          <w:sz w:val="21"/>
          <w:szCs w:val="21"/>
          <w:highlight w:val="none"/>
          <w:lang w:val="en-US" w:eastAsia="zh-CN"/>
        </w:rPr>
        <w:t>09</w:t>
      </w:r>
      <w:r>
        <w:rPr>
          <w:rStyle w:val="43"/>
          <w:rFonts w:hint="eastAsia" w:ascii="宋体" w:hAnsi="宋体" w:eastAsia="宋体" w:cs="宋体"/>
          <w:b/>
          <w:color w:val="auto"/>
          <w:sz w:val="21"/>
          <w:szCs w:val="21"/>
          <w:highlight w:val="none"/>
        </w:rPr>
        <w:t xml:space="preserve">时30分； </w:t>
      </w:r>
    </w:p>
    <w:p w14:paraId="1465788B">
      <w:pPr>
        <w:shd w:val="clear"/>
        <w:snapToGrid w:val="0"/>
        <w:ind w:firstLine="420" w:firstLineChars="200"/>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2.响应文件递交地址：南通市疾病控制中心四楼第二会议室（工农南路189号），如有变动另行通知。</w:t>
      </w:r>
    </w:p>
    <w:p w14:paraId="2BE3FA88">
      <w:pPr>
        <w:pStyle w:val="96"/>
        <w:shd w:val="clear"/>
        <w:snapToGrid w:val="0"/>
        <w:spacing w:line="360" w:lineRule="auto"/>
        <w:ind w:left="0" w:firstLine="422"/>
        <w:rPr>
          <w:rStyle w:val="43"/>
          <w:rFonts w:hint="eastAsia" w:ascii="宋体" w:hAnsi="宋体" w:eastAsia="宋体" w:cs="宋体"/>
          <w:b/>
          <w:bCs/>
          <w:color w:val="auto"/>
          <w:sz w:val="21"/>
          <w:szCs w:val="21"/>
          <w:highlight w:val="none"/>
          <w:lang w:val="en-US" w:eastAsia="zh-CN"/>
        </w:rPr>
      </w:pPr>
      <w:r>
        <w:rPr>
          <w:rStyle w:val="43"/>
          <w:rFonts w:hint="eastAsia" w:ascii="宋体" w:hAnsi="宋体" w:eastAsia="宋体" w:cs="宋体"/>
          <w:b/>
          <w:bCs/>
          <w:color w:val="auto"/>
          <w:sz w:val="21"/>
          <w:szCs w:val="21"/>
          <w:highlight w:val="none"/>
        </w:rPr>
        <w:t>五、其他补充事宜：</w:t>
      </w:r>
      <w:r>
        <w:rPr>
          <w:rStyle w:val="43"/>
          <w:rFonts w:hint="eastAsia" w:ascii="宋体" w:hAnsi="宋体" w:eastAsia="宋体" w:cs="宋体"/>
          <w:b/>
          <w:bCs/>
          <w:color w:val="auto"/>
          <w:sz w:val="21"/>
          <w:szCs w:val="21"/>
          <w:highlight w:val="none"/>
          <w:lang w:val="en-US" w:eastAsia="zh-CN"/>
        </w:rPr>
        <w:t>无。</w:t>
      </w:r>
    </w:p>
    <w:p w14:paraId="1ED9A506">
      <w:pPr>
        <w:shd w:val="clear"/>
        <w:tabs>
          <w:tab w:val="left" w:pos="8222"/>
        </w:tabs>
        <w:snapToGrid w:val="0"/>
        <w:ind w:firstLine="420" w:firstLineChars="200"/>
        <w:rPr>
          <w:rStyle w:val="43"/>
          <w:rFonts w:ascii="宋体" w:hAnsi="宋体" w:eastAsia="宋体" w:cs="宋体"/>
          <w:b/>
          <w:bCs/>
          <w:color w:val="auto"/>
          <w:sz w:val="21"/>
          <w:szCs w:val="21"/>
          <w:highlight w:val="none"/>
        </w:rPr>
      </w:pPr>
      <w:r>
        <w:rPr>
          <w:rStyle w:val="43"/>
          <w:rFonts w:hint="eastAsia" w:ascii="宋体" w:hAnsi="宋体" w:eastAsia="宋体" w:cs="宋体"/>
          <w:b/>
          <w:bCs/>
          <w:color w:val="auto"/>
          <w:sz w:val="21"/>
          <w:szCs w:val="21"/>
          <w:highlight w:val="none"/>
        </w:rPr>
        <w:t>六、联系方式</w:t>
      </w:r>
    </w:p>
    <w:p w14:paraId="40FCBC9C">
      <w:pPr>
        <w:shd w:val="clear"/>
        <w:snapToGrid w:val="0"/>
        <w:ind w:left="520" w:leftChars="200"/>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1.采购人信息</w:t>
      </w:r>
    </w:p>
    <w:p w14:paraId="7230724B">
      <w:pPr>
        <w:shd w:val="clear"/>
        <w:snapToGrid w:val="0"/>
        <w:ind w:left="520" w:leftChars="200"/>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名称：南通市疾病预防控制中心；</w:t>
      </w:r>
    </w:p>
    <w:p w14:paraId="691A01C7">
      <w:pPr>
        <w:shd w:val="clear"/>
        <w:snapToGrid w:val="0"/>
        <w:ind w:left="520" w:leftChars="200"/>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地址：南通市崇川区工农南路189号；</w:t>
      </w:r>
    </w:p>
    <w:p w14:paraId="0D741B7B">
      <w:pPr>
        <w:shd w:val="clear"/>
        <w:snapToGrid w:val="0"/>
        <w:ind w:left="520" w:leftChars="200"/>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联系人：</w:t>
      </w:r>
      <w:r>
        <w:rPr>
          <w:rStyle w:val="43"/>
          <w:rFonts w:hint="eastAsia" w:ascii="宋体" w:hAnsi="宋体" w:eastAsia="宋体" w:cs="宋体"/>
          <w:color w:val="auto"/>
          <w:sz w:val="21"/>
          <w:szCs w:val="21"/>
          <w:highlight w:val="none"/>
          <w:lang w:val="en-US" w:eastAsia="zh-CN"/>
        </w:rPr>
        <w:t>徐老师</w:t>
      </w:r>
      <w:r>
        <w:rPr>
          <w:rStyle w:val="43"/>
          <w:rFonts w:hint="eastAsia" w:ascii="宋体" w:hAnsi="宋体" w:eastAsia="宋体" w:cs="宋体"/>
          <w:color w:val="auto"/>
          <w:sz w:val="21"/>
          <w:szCs w:val="21"/>
          <w:highlight w:val="none"/>
        </w:rPr>
        <w:t>；</w:t>
      </w:r>
    </w:p>
    <w:p w14:paraId="3E54B604">
      <w:pPr>
        <w:shd w:val="clear"/>
        <w:snapToGrid w:val="0"/>
        <w:ind w:left="520" w:leftChars="200"/>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联系电话：</w:t>
      </w:r>
      <w:r>
        <w:rPr>
          <w:rStyle w:val="43"/>
          <w:rFonts w:hint="eastAsia" w:ascii="宋体" w:hAnsi="宋体" w:eastAsia="宋体" w:cs="宋体"/>
          <w:color w:val="auto"/>
          <w:sz w:val="21"/>
          <w:szCs w:val="21"/>
          <w:highlight w:val="none"/>
          <w:lang w:val="en-US" w:eastAsia="zh-CN"/>
        </w:rPr>
        <w:t>15996670498</w:t>
      </w:r>
      <w:r>
        <w:rPr>
          <w:rStyle w:val="43"/>
          <w:rFonts w:hint="eastAsia" w:ascii="宋体" w:hAnsi="宋体" w:eastAsia="宋体" w:cs="宋体"/>
          <w:color w:val="auto"/>
          <w:sz w:val="21"/>
          <w:szCs w:val="21"/>
          <w:highlight w:val="none"/>
        </w:rPr>
        <w:t xml:space="preserve">。 </w:t>
      </w:r>
    </w:p>
    <w:p w14:paraId="4A730F77">
      <w:pPr>
        <w:keepLines/>
        <w:shd w:val="clear"/>
        <w:snapToGrid w:val="0"/>
        <w:spacing w:line="500" w:lineRule="exact"/>
        <w:jc w:val="center"/>
        <w:rPr>
          <w:rStyle w:val="43"/>
          <w:rFonts w:ascii="宋体" w:hAnsi="宋体" w:eastAsia="宋体" w:cs="宋体"/>
          <w:b/>
          <w:color w:val="auto"/>
          <w:sz w:val="36"/>
          <w:szCs w:val="36"/>
          <w:highlight w:val="none"/>
        </w:rPr>
      </w:pPr>
      <w:r>
        <w:rPr>
          <w:rStyle w:val="43"/>
          <w:rFonts w:hint="eastAsia" w:ascii="宋体" w:hAnsi="宋体" w:eastAsia="宋体" w:cs="宋体"/>
          <w:b/>
          <w:color w:val="auto"/>
          <w:w w:val="80"/>
          <w:kern w:val="44"/>
          <w:sz w:val="36"/>
          <w:szCs w:val="36"/>
          <w:highlight w:val="none"/>
        </w:rPr>
        <w:br w:type="page"/>
      </w:r>
      <w:r>
        <w:rPr>
          <w:rStyle w:val="43"/>
          <w:rFonts w:hint="eastAsia" w:ascii="宋体" w:hAnsi="宋体" w:eastAsia="宋体" w:cs="宋体"/>
          <w:b/>
          <w:color w:val="auto"/>
          <w:w w:val="80"/>
          <w:kern w:val="44"/>
          <w:sz w:val="36"/>
          <w:szCs w:val="36"/>
          <w:highlight w:val="none"/>
        </w:rPr>
        <w:t>第二章  供应商须知</w:t>
      </w:r>
    </w:p>
    <w:p w14:paraId="5C91E9DA">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1.本比选文件仅适用于南通市疾病预防控制中心（以下称</w:t>
      </w:r>
      <w:r>
        <w:rPr>
          <w:rStyle w:val="43"/>
          <w:rFonts w:hint="eastAsia" w:ascii="宋体" w:hAnsi="宋体" w:eastAsia="宋体" w:cs="宋体"/>
          <w:color w:val="auto"/>
          <w:sz w:val="24"/>
          <w:szCs w:val="24"/>
          <w:highlight w:val="none"/>
          <w:lang w:val="en-US" w:eastAsia="zh-CN"/>
        </w:rPr>
        <w:t>采购人</w:t>
      </w:r>
      <w:r>
        <w:rPr>
          <w:rStyle w:val="43"/>
          <w:rFonts w:hint="eastAsia" w:ascii="宋体" w:hAnsi="宋体" w:eastAsia="宋体" w:cs="宋体"/>
          <w:color w:val="auto"/>
          <w:sz w:val="24"/>
          <w:szCs w:val="24"/>
          <w:highlight w:val="none"/>
        </w:rPr>
        <w:t>）组织的比选活动。</w:t>
      </w:r>
    </w:p>
    <w:p w14:paraId="3A21B2B3">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2.比选活动及因本次采购产生的合同受中国法律制约和保护。</w:t>
      </w:r>
    </w:p>
    <w:p w14:paraId="3250EB11">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3.比选文件的解释权属于</w:t>
      </w:r>
      <w:r>
        <w:rPr>
          <w:rStyle w:val="43"/>
          <w:rFonts w:hint="eastAsia" w:ascii="宋体" w:hAnsi="宋体" w:eastAsia="宋体" w:cs="宋体"/>
          <w:color w:val="auto"/>
          <w:sz w:val="24"/>
          <w:szCs w:val="24"/>
          <w:highlight w:val="none"/>
          <w:lang w:val="en-US" w:eastAsia="zh-CN"/>
        </w:rPr>
        <w:t>采购人</w:t>
      </w:r>
      <w:r>
        <w:rPr>
          <w:rStyle w:val="43"/>
          <w:rFonts w:hint="eastAsia" w:ascii="宋体" w:hAnsi="宋体" w:eastAsia="宋体" w:cs="宋体"/>
          <w:color w:val="auto"/>
          <w:sz w:val="24"/>
          <w:szCs w:val="24"/>
          <w:highlight w:val="none"/>
        </w:rPr>
        <w:t>。</w:t>
      </w:r>
    </w:p>
    <w:p w14:paraId="4B895F92">
      <w:pPr>
        <w:shd w:val="clear"/>
        <w:snapToGrid w:val="0"/>
        <w:spacing w:line="500" w:lineRule="exact"/>
        <w:ind w:firstLine="472" w:firstLineChars="200"/>
        <w:rPr>
          <w:rStyle w:val="43"/>
          <w:rFonts w:ascii="宋体" w:hAnsi="宋体" w:eastAsia="宋体" w:cs="宋体"/>
          <w:b/>
          <w:bCs/>
          <w:color w:val="auto"/>
          <w:spacing w:val="-2"/>
          <w:sz w:val="24"/>
          <w:szCs w:val="24"/>
          <w:highlight w:val="none"/>
        </w:rPr>
      </w:pPr>
      <w:r>
        <w:rPr>
          <w:rStyle w:val="43"/>
          <w:rFonts w:hint="eastAsia" w:ascii="宋体" w:hAnsi="宋体" w:eastAsia="宋体" w:cs="宋体"/>
          <w:color w:val="auto"/>
          <w:spacing w:val="-2"/>
          <w:sz w:val="24"/>
          <w:szCs w:val="24"/>
          <w:highlight w:val="none"/>
        </w:rPr>
        <w:t>4.</w:t>
      </w:r>
      <w:r>
        <w:rPr>
          <w:rFonts w:hint="eastAsia" w:ascii="宋体" w:hAnsi="宋体" w:eastAsia="宋体" w:cs="宋体"/>
          <w:color w:val="auto"/>
          <w:spacing w:val="-2"/>
          <w:sz w:val="24"/>
          <w:szCs w:val="24"/>
          <w:highlight w:val="none"/>
        </w:rPr>
        <w:t>供应商在知道或应当知道本项目比选通告及比选文件中的所有内容：如内容或页码短缺、资格要求和技术参数出现倾向性或排他性等表述的，</w:t>
      </w:r>
      <w:r>
        <w:rPr>
          <w:rFonts w:hint="eastAsia" w:ascii="宋体" w:hAnsi="宋体" w:eastAsia="宋体" w:cs="宋体"/>
          <w:b/>
          <w:color w:val="auto"/>
          <w:spacing w:val="-2"/>
          <w:sz w:val="24"/>
          <w:szCs w:val="24"/>
          <w:highlight w:val="none"/>
        </w:rPr>
        <w:t>应于2025年</w:t>
      </w:r>
      <w:r>
        <w:rPr>
          <w:rFonts w:hint="eastAsia" w:ascii="宋体" w:hAnsi="宋体" w:eastAsia="宋体" w:cs="宋体"/>
          <w:b/>
          <w:color w:val="auto"/>
          <w:spacing w:val="-2"/>
          <w:sz w:val="24"/>
          <w:szCs w:val="24"/>
          <w:highlight w:val="none"/>
          <w:lang w:val="en-US" w:eastAsia="zh-CN"/>
        </w:rPr>
        <w:t>11</w:t>
      </w:r>
      <w:r>
        <w:rPr>
          <w:rFonts w:hint="eastAsia" w:ascii="宋体" w:hAnsi="宋体" w:eastAsia="宋体" w:cs="宋体"/>
          <w:b/>
          <w:color w:val="auto"/>
          <w:spacing w:val="-2"/>
          <w:sz w:val="24"/>
          <w:szCs w:val="24"/>
          <w:highlight w:val="none"/>
        </w:rPr>
        <w:t>月</w:t>
      </w:r>
      <w:r>
        <w:rPr>
          <w:rFonts w:hint="eastAsia" w:ascii="宋体" w:hAnsi="宋体" w:eastAsia="宋体" w:cs="宋体"/>
          <w:b/>
          <w:color w:val="auto"/>
          <w:spacing w:val="-2"/>
          <w:sz w:val="24"/>
          <w:szCs w:val="24"/>
          <w:highlight w:val="none"/>
          <w:lang w:val="en-US" w:eastAsia="zh-CN"/>
        </w:rPr>
        <w:t>14</w:t>
      </w:r>
      <w:r>
        <w:rPr>
          <w:rFonts w:hint="eastAsia" w:ascii="宋体" w:hAnsi="宋体" w:eastAsia="宋体" w:cs="宋体"/>
          <w:b/>
          <w:color w:val="auto"/>
          <w:spacing w:val="-2"/>
          <w:sz w:val="24"/>
          <w:szCs w:val="24"/>
          <w:highlight w:val="none"/>
        </w:rPr>
        <w:t>日17时前提出询问或以书面实名制形式提出质疑</w:t>
      </w:r>
      <w:r>
        <w:rPr>
          <w:rFonts w:hint="eastAsia" w:ascii="宋体" w:hAnsi="宋体" w:eastAsia="宋体" w:cs="宋体"/>
          <w:color w:val="auto"/>
          <w:spacing w:val="-2"/>
          <w:sz w:val="24"/>
          <w:szCs w:val="24"/>
          <w:highlight w:val="none"/>
        </w:rPr>
        <w:t>；未提出询问、质疑或是未在规定期间内提出询问、质疑的，视作供应商接受本项目比选通告及比选文件中的全部内容；供应商不得在比选活动期间及比选结束后针对本项目比选通告及比选文件中的所有内容提出质疑、投诉。</w:t>
      </w:r>
      <w:r>
        <w:rPr>
          <w:rFonts w:hint="eastAsia" w:ascii="宋体" w:hAnsi="宋体" w:eastAsia="宋体" w:cs="宋体"/>
          <w:b/>
          <w:color w:val="auto"/>
          <w:spacing w:val="-2"/>
          <w:sz w:val="24"/>
          <w:szCs w:val="24"/>
          <w:highlight w:val="none"/>
        </w:rPr>
        <w:t>供应商须在法定质疑期内一次性提出针对同一采购程序环节的质疑。非书面形式的不作为日后质疑提出的依据</w:t>
      </w:r>
      <w:r>
        <w:rPr>
          <w:rFonts w:hint="eastAsia" w:ascii="宋体" w:hAnsi="宋体" w:eastAsia="宋体" w:cs="宋体"/>
          <w:b/>
          <w:bCs/>
          <w:color w:val="auto"/>
          <w:sz w:val="24"/>
          <w:szCs w:val="24"/>
          <w:highlight w:val="none"/>
        </w:rPr>
        <w:t>。</w:t>
      </w:r>
    </w:p>
    <w:p w14:paraId="5A72A10D">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5.供应商应认真审阅比选文件中所有的事项、格式、条款和规范要求等，如果供应商没有按照比选文件要求提交响应文件，或者响应文件没有对比选文件做出实质性响应，将被拒绝参与比选。</w:t>
      </w:r>
    </w:p>
    <w:p w14:paraId="29A67F2E">
      <w:pPr>
        <w:shd w:val="clear"/>
        <w:snapToGrid w:val="0"/>
        <w:spacing w:line="500" w:lineRule="exact"/>
        <w:ind w:firstLine="494" w:firstLineChars="206"/>
        <w:rPr>
          <w:rStyle w:val="43"/>
          <w:rFonts w:ascii="宋体" w:hAnsi="宋体" w:eastAsia="宋体" w:cs="宋体"/>
          <w:b/>
          <w:color w:val="auto"/>
          <w:sz w:val="24"/>
          <w:szCs w:val="24"/>
          <w:highlight w:val="none"/>
        </w:rPr>
      </w:pPr>
      <w:r>
        <w:rPr>
          <w:rStyle w:val="43"/>
          <w:rFonts w:hint="eastAsia" w:ascii="宋体" w:hAnsi="宋体" w:eastAsia="宋体" w:cs="宋体"/>
          <w:color w:val="auto"/>
          <w:sz w:val="24"/>
          <w:szCs w:val="24"/>
          <w:highlight w:val="none"/>
        </w:rPr>
        <w:t>6.比选文件项目需求提供的可能涉及到的工艺、材料、设备、商标、样本、技术规范、参数规格、品牌等，仅作为说明并没有限制性，供应商在响应中可以选用替代标准，但这些替代标准要优于或相当于项目需求技术规格中要求的标准，以满足采购人的需要。</w:t>
      </w:r>
    </w:p>
    <w:p w14:paraId="0B832473">
      <w:pPr>
        <w:shd w:val="clear"/>
        <w:snapToGrid w:val="0"/>
        <w:spacing w:line="500" w:lineRule="exact"/>
        <w:ind w:firstLine="494" w:firstLineChars="206"/>
        <w:rPr>
          <w:rStyle w:val="43"/>
          <w:rFonts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二、比选文件的补充说明、澄清、修改、答疑</w:t>
      </w:r>
    </w:p>
    <w:p w14:paraId="5685CE02">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w:t>
      </w:r>
      <w:r>
        <w:rPr>
          <w:rStyle w:val="43"/>
          <w:rFonts w:hint="eastAsia" w:ascii="宋体" w:hAnsi="宋体" w:eastAsia="宋体" w:cs="宋体"/>
          <w:color w:val="auto"/>
          <w:sz w:val="24"/>
          <w:szCs w:val="24"/>
          <w:highlight w:val="none"/>
          <w:lang w:val="en-US" w:eastAsia="zh-CN"/>
        </w:rPr>
        <w:t>采购人</w:t>
      </w:r>
      <w:r>
        <w:rPr>
          <w:rStyle w:val="43"/>
          <w:rFonts w:hint="eastAsia" w:ascii="宋体" w:hAnsi="宋体" w:eastAsia="宋体" w:cs="宋体"/>
          <w:color w:val="auto"/>
          <w:sz w:val="24"/>
          <w:szCs w:val="24"/>
          <w:highlight w:val="none"/>
        </w:rPr>
        <w:t>有权对发出的比选文件进行必要的补充说明、澄清或修改。</w:t>
      </w:r>
    </w:p>
    <w:p w14:paraId="7326A1F7">
      <w:pPr>
        <w:shd w:val="clear"/>
        <w:snapToGrid w:val="0"/>
        <w:spacing w:line="500" w:lineRule="exact"/>
        <w:ind w:firstLine="480" w:firstLineChars="200"/>
        <w:jc w:val="left"/>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2.比选文件的澄清、修改、补充等内容均以书面明确的形式发布，且以在南通市疾病预防控制中心及</w:t>
      </w:r>
      <w:r>
        <w:rPr>
          <w:rStyle w:val="43"/>
          <w:rFonts w:hint="eastAsia" w:ascii="宋体" w:hAnsi="宋体" w:eastAsia="宋体" w:cs="宋体"/>
          <w:color w:val="auto"/>
          <w:sz w:val="24"/>
          <w:szCs w:val="24"/>
          <w:highlight w:val="none"/>
          <w:lang w:eastAsia="zh-CN"/>
        </w:rPr>
        <w:t>江苏招标采购公共服务平台</w:t>
      </w:r>
      <w:r>
        <w:rPr>
          <w:rStyle w:val="43"/>
          <w:rFonts w:hint="eastAsia" w:ascii="宋体" w:hAnsi="宋体" w:eastAsia="宋体" w:cs="宋体"/>
          <w:color w:val="auto"/>
          <w:sz w:val="24"/>
          <w:szCs w:val="24"/>
          <w:highlight w:val="none"/>
        </w:rPr>
        <w:t>发布的信息为准。</w:t>
      </w:r>
    </w:p>
    <w:p w14:paraId="1E04207C">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w:t>
      </w:r>
      <w:r>
        <w:rPr>
          <w:rStyle w:val="43"/>
          <w:rFonts w:hint="eastAsia" w:ascii="宋体" w:hAnsi="宋体" w:eastAsia="宋体" w:cs="宋体"/>
          <w:color w:val="auto"/>
          <w:sz w:val="24"/>
          <w:szCs w:val="24"/>
          <w:highlight w:val="none"/>
          <w:lang w:val="en-US" w:eastAsia="zh-CN"/>
        </w:rPr>
        <w:t>采购人</w:t>
      </w:r>
      <w:r>
        <w:rPr>
          <w:rStyle w:val="43"/>
          <w:rFonts w:hint="eastAsia" w:ascii="宋体" w:hAnsi="宋体" w:eastAsia="宋体" w:cs="宋体"/>
          <w:color w:val="auto"/>
          <w:sz w:val="24"/>
          <w:szCs w:val="24"/>
          <w:highlight w:val="none"/>
        </w:rPr>
        <w:t>对比选文件的补充说明、澄清或修改，将构成比选文件的一部分，对供应商具有约束力。</w:t>
      </w:r>
    </w:p>
    <w:p w14:paraId="7CDB1F6F">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4.补充说明、澄清或修改的内容可能影响到响应文件编制的，</w:t>
      </w:r>
      <w:r>
        <w:rPr>
          <w:rStyle w:val="43"/>
          <w:rFonts w:hint="eastAsia" w:ascii="宋体" w:hAnsi="宋体" w:eastAsia="宋体" w:cs="宋体"/>
          <w:color w:val="auto"/>
          <w:sz w:val="24"/>
          <w:szCs w:val="24"/>
          <w:highlight w:val="none"/>
          <w:lang w:val="en-US" w:eastAsia="zh-CN"/>
        </w:rPr>
        <w:t>采购人</w:t>
      </w:r>
      <w:r>
        <w:rPr>
          <w:rStyle w:val="43"/>
          <w:rFonts w:hint="eastAsia" w:ascii="宋体" w:hAnsi="宋体" w:eastAsia="宋体" w:cs="宋体"/>
          <w:color w:val="auto"/>
          <w:sz w:val="24"/>
          <w:szCs w:val="24"/>
          <w:highlight w:val="none"/>
        </w:rPr>
        <w:t>将在提交首次响应文件截止之日3日前，发布补充说明、澄清或修改通告，不足3日的，应当顺延提交首次响应文件截止之日。</w:t>
      </w:r>
    </w:p>
    <w:p w14:paraId="3E0DBCEE">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5.除非</w:t>
      </w:r>
      <w:r>
        <w:rPr>
          <w:rStyle w:val="43"/>
          <w:rFonts w:hint="eastAsia" w:ascii="宋体" w:hAnsi="宋体" w:eastAsia="宋体" w:cs="宋体"/>
          <w:color w:val="auto"/>
          <w:sz w:val="24"/>
          <w:szCs w:val="24"/>
          <w:highlight w:val="none"/>
          <w:lang w:val="en-US" w:eastAsia="zh-CN"/>
        </w:rPr>
        <w:t>采购人</w:t>
      </w:r>
      <w:r>
        <w:rPr>
          <w:rStyle w:val="43"/>
          <w:rFonts w:hint="eastAsia" w:ascii="宋体" w:hAnsi="宋体" w:eastAsia="宋体" w:cs="宋体"/>
          <w:color w:val="auto"/>
          <w:sz w:val="24"/>
          <w:szCs w:val="24"/>
          <w:highlight w:val="none"/>
        </w:rPr>
        <w:t>以书面的形式对比选文件作出澄清、修改及补充，供应商对涉及比选文件的任何推论、理解和结论所造成的结果，均由供应商自负。</w:t>
      </w:r>
    </w:p>
    <w:p w14:paraId="3528848A">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6.采购单位视情组织答疑会。如有产生答疑且对比选文件内容有修改，</w:t>
      </w:r>
      <w:r>
        <w:rPr>
          <w:rStyle w:val="43"/>
          <w:rFonts w:hint="eastAsia" w:ascii="宋体" w:hAnsi="宋体" w:eastAsia="宋体" w:cs="宋体"/>
          <w:color w:val="auto"/>
          <w:sz w:val="24"/>
          <w:szCs w:val="24"/>
          <w:highlight w:val="none"/>
          <w:lang w:val="en-US" w:eastAsia="zh-CN"/>
        </w:rPr>
        <w:t>采购人</w:t>
      </w:r>
      <w:r>
        <w:rPr>
          <w:rStyle w:val="43"/>
          <w:rFonts w:hint="eastAsia" w:ascii="宋体" w:hAnsi="宋体" w:eastAsia="宋体" w:cs="宋体"/>
          <w:color w:val="auto"/>
          <w:sz w:val="24"/>
          <w:szCs w:val="24"/>
          <w:highlight w:val="none"/>
        </w:rPr>
        <w:t>将按照本须知有关规定，以补充通知（通告）的方式发出。</w:t>
      </w:r>
    </w:p>
    <w:p w14:paraId="5377D182">
      <w:pPr>
        <w:shd w:val="clear"/>
        <w:snapToGrid w:val="0"/>
        <w:spacing w:line="500" w:lineRule="exact"/>
        <w:ind w:firstLine="480" w:firstLineChars="200"/>
        <w:rPr>
          <w:rStyle w:val="43"/>
          <w:rFonts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三、项目涉及到的现场勘察</w:t>
      </w:r>
    </w:p>
    <w:p w14:paraId="4D415FD6">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比选文件所提供的项目相关数据仅做参考，根据自身需要，供应商可在响应文件递交之日前对有关现场和周围环境进行勘察，以获取编制响应文件和签署合同所需的信息。勘察现场所发生的费用由供应商自己承担。</w:t>
      </w:r>
    </w:p>
    <w:p w14:paraId="6F3E3CAC">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2.采购单位向供应商提供的有关现场的资料和数据，是采购单位现有的并认为能使供应商可利用的资料。采购人对供应商由此而做出的推论、理解和结论概不负责。</w:t>
      </w:r>
    </w:p>
    <w:p w14:paraId="6267AD75">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3.经采购人允许，供应商可为勘察目的进入采购人的项目现场，但供应商不得因此使采购人承担有关的责任和蒙受损失。供应商应承担勘察现场的责任和风险。</w:t>
      </w:r>
    </w:p>
    <w:p w14:paraId="69A10896">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供应商应认真踏勘现场。在现场勘察时，熟悉供货及安装现场、现场周围交通道路等情况，以获得一切可能影响其响应的直接资料。供应商中选后，不得以不完全了解现场情况为理由而向采购人提出任何索赔的要求，对此采购人不承担任何责任并将不作任何答复与考虑。</w:t>
      </w:r>
    </w:p>
    <w:p w14:paraId="6FDE4285">
      <w:pPr>
        <w:shd w:val="clear"/>
        <w:snapToGrid w:val="0"/>
        <w:spacing w:line="500" w:lineRule="exact"/>
        <w:ind w:firstLine="480" w:firstLineChars="200"/>
        <w:rPr>
          <w:rStyle w:val="43"/>
          <w:rFonts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四、响应文件的组成及装订</w:t>
      </w:r>
    </w:p>
    <w:p w14:paraId="54C202FC">
      <w:pPr>
        <w:shd w:val="clea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1.响应文件由：①资格审查文件、②商务技术响应文件、③报价响应文件共</w:t>
      </w:r>
      <w:r>
        <w:rPr>
          <w:rStyle w:val="43"/>
          <w:rFonts w:hint="eastAsia" w:ascii="宋体" w:hAnsi="宋体" w:eastAsia="宋体" w:cs="宋体"/>
          <w:color w:val="auto"/>
          <w:sz w:val="24"/>
          <w:szCs w:val="24"/>
          <w:highlight w:val="none"/>
          <w:lang w:val="en-US" w:eastAsia="zh-CN"/>
        </w:rPr>
        <w:t>三</w:t>
      </w:r>
      <w:r>
        <w:rPr>
          <w:rStyle w:val="43"/>
          <w:rFonts w:hint="eastAsia" w:ascii="宋体" w:hAnsi="宋体" w:eastAsia="宋体" w:cs="宋体"/>
          <w:color w:val="auto"/>
          <w:sz w:val="24"/>
          <w:szCs w:val="24"/>
          <w:highlight w:val="none"/>
        </w:rPr>
        <w:t>部分组成（以下由文件序号代称）。</w:t>
      </w:r>
    </w:p>
    <w:p w14:paraId="529A67F4">
      <w:pPr>
        <w:shd w:val="clea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供应商按比选文件要求编写响应文件，并牢固装订成册。响应文件均需采用A4纸（图纸等除外），不要使用活页夹、拉杆夹、文件夹、塑料方便式书脊（插入式或穿孔式）装订。响应文件不得行间插字、涂改、增删，如修改错漏处，须经响应文件签署人签字并加盖公章。</w:t>
      </w:r>
    </w:p>
    <w:p w14:paraId="1366CA6E">
      <w:pPr>
        <w:shd w:val="clea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3.响应文件的 “资格审查文件”“商务技术响应文件”“报价响应文件”各自装订成册。特别提示：“报价响应文件”必须单独装订和封装，不得出现在“资格审查文件”和“商务技术响应文件”之中。</w:t>
      </w:r>
    </w:p>
    <w:p w14:paraId="50B6D77D">
      <w:pPr>
        <w:shd w:val="clear"/>
        <w:snapToGrid w:val="0"/>
        <w:spacing w:line="500" w:lineRule="exact"/>
        <w:ind w:firstLine="480" w:firstLineChars="200"/>
        <w:rPr>
          <w:rStyle w:val="43"/>
          <w:rFonts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五、响应文件的份数、签署</w:t>
      </w:r>
    </w:p>
    <w:p w14:paraId="48039900">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1.供应商应准备</w:t>
      </w:r>
      <w:r>
        <w:rPr>
          <w:rStyle w:val="43"/>
          <w:rFonts w:hint="eastAsia" w:ascii="宋体" w:hAnsi="宋体" w:eastAsia="宋体" w:cs="宋体"/>
          <w:color w:val="auto"/>
          <w:sz w:val="24"/>
          <w:szCs w:val="24"/>
          <w:highlight w:val="none"/>
          <w:u w:val="single" w:color="000000"/>
        </w:rPr>
        <w:t xml:space="preserve"> 叁 </w:t>
      </w:r>
      <w:r>
        <w:rPr>
          <w:rStyle w:val="43"/>
          <w:rFonts w:hint="eastAsia" w:ascii="宋体" w:hAnsi="宋体" w:eastAsia="宋体" w:cs="宋体"/>
          <w:color w:val="auto"/>
          <w:sz w:val="24"/>
          <w:szCs w:val="24"/>
          <w:highlight w:val="none"/>
        </w:rPr>
        <w:t>份完整的响应文件，其中正本</w:t>
      </w:r>
      <w:r>
        <w:rPr>
          <w:rStyle w:val="43"/>
          <w:rFonts w:hint="eastAsia" w:ascii="宋体" w:hAnsi="宋体" w:eastAsia="宋体" w:cs="宋体"/>
          <w:b/>
          <w:color w:val="auto"/>
          <w:sz w:val="24"/>
          <w:szCs w:val="24"/>
          <w:highlight w:val="none"/>
          <w:u w:val="single" w:color="000000"/>
        </w:rPr>
        <w:t xml:space="preserve"> 壹 </w:t>
      </w:r>
      <w:r>
        <w:rPr>
          <w:rStyle w:val="43"/>
          <w:rFonts w:hint="eastAsia" w:ascii="宋体" w:hAnsi="宋体" w:eastAsia="宋体" w:cs="宋体"/>
          <w:color w:val="auto"/>
          <w:sz w:val="24"/>
          <w:szCs w:val="24"/>
          <w:highlight w:val="none"/>
        </w:rPr>
        <w:t>份，副本</w:t>
      </w:r>
      <w:r>
        <w:rPr>
          <w:rStyle w:val="43"/>
          <w:rFonts w:hint="eastAsia" w:ascii="宋体" w:hAnsi="宋体" w:eastAsia="宋体" w:cs="宋体"/>
          <w:b/>
          <w:color w:val="auto"/>
          <w:sz w:val="24"/>
          <w:szCs w:val="24"/>
          <w:highlight w:val="none"/>
          <w:u w:val="single" w:color="000000"/>
        </w:rPr>
        <w:t xml:space="preserve"> 贰</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color w:val="auto"/>
          <w:sz w:val="24"/>
          <w:szCs w:val="24"/>
          <w:highlight w:val="none"/>
        </w:rPr>
        <w:t>份，并标明“正本”或“副本”字样，若有差异，概以“正本”为准。</w:t>
      </w:r>
    </w:p>
    <w:p w14:paraId="01EECE3E">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2.响应文件分</w:t>
      </w:r>
      <w:r>
        <w:rPr>
          <w:rStyle w:val="43"/>
          <w:rFonts w:hint="eastAsia" w:ascii="宋体" w:hAnsi="宋体" w:eastAsia="宋体" w:cs="宋体"/>
          <w:color w:val="auto"/>
          <w:sz w:val="24"/>
          <w:szCs w:val="24"/>
          <w:highlight w:val="none"/>
          <w:lang w:val="en-US" w:eastAsia="zh-CN"/>
        </w:rPr>
        <w:t>三</w:t>
      </w:r>
      <w:r>
        <w:rPr>
          <w:rStyle w:val="43"/>
          <w:rFonts w:hint="eastAsia" w:ascii="宋体" w:hAnsi="宋体" w:eastAsia="宋体" w:cs="宋体"/>
          <w:color w:val="auto"/>
          <w:sz w:val="24"/>
          <w:szCs w:val="24"/>
          <w:highlight w:val="none"/>
        </w:rPr>
        <w:t>册密封。第一册为 “资格审查文件”，第二册为“商务技术响应文件”，第三册为“报价响应文件”。比选响应文件的第一册、第二册、第三册应分别密封，并在封袋上标明 “资格审查文件”“商务技术响应文件”“报价响应文件”。</w:t>
      </w:r>
    </w:p>
    <w:p w14:paraId="20653978">
      <w:pPr>
        <w:shd w:val="clear"/>
        <w:snapToGrid w:val="0"/>
        <w:spacing w:line="500" w:lineRule="exact"/>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3</w:t>
      </w:r>
      <w:r>
        <w:rPr>
          <w:rStyle w:val="43"/>
          <w:rFonts w:hint="eastAsia" w:ascii="宋体" w:hAnsi="宋体" w:eastAsia="宋体" w:cs="宋体"/>
          <w:color w:val="auto"/>
          <w:sz w:val="24"/>
          <w:szCs w:val="24"/>
          <w:highlight w:val="none"/>
        </w:rPr>
        <w:t>.响应文件正本须按比选文件要求由法定代表人或被授权人签字或盖章并加盖供应商印章。副本可复印，但须加盖供应商印章。</w:t>
      </w:r>
    </w:p>
    <w:p w14:paraId="4BDCF4A6">
      <w:pPr>
        <w:shd w:val="clear"/>
        <w:snapToGrid w:val="0"/>
        <w:spacing w:line="500" w:lineRule="exact"/>
        <w:ind w:firstLine="480" w:firstLineChars="200"/>
        <w:rPr>
          <w:rStyle w:val="43"/>
          <w:rFonts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六、响应文件的密封及标记</w:t>
      </w:r>
    </w:p>
    <w:p w14:paraId="739F1BA8">
      <w:pPr>
        <w:shd w:val="clear"/>
        <w:snapToGrid w:val="0"/>
        <w:spacing w:line="500" w:lineRule="exact"/>
        <w:ind w:firstLine="470" w:firstLineChars="196"/>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密封后，应在每一密封包的响应文件上明确标注项目名称、响应文件各自对应的名称、供应商全称及日期，同时加盖供应商公章。</w:t>
      </w:r>
    </w:p>
    <w:p w14:paraId="67C4A650">
      <w:pPr>
        <w:shd w:val="clear"/>
        <w:snapToGrid w:val="0"/>
        <w:spacing w:line="500" w:lineRule="exact"/>
        <w:ind w:firstLine="494" w:firstLineChars="206"/>
        <w:rPr>
          <w:rStyle w:val="43"/>
          <w:rFonts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七、响应文件的有效期</w:t>
      </w:r>
    </w:p>
    <w:p w14:paraId="3258747B">
      <w:pPr>
        <w:shd w:val="clear"/>
        <w:snapToGrid w:val="0"/>
        <w:spacing w:line="500" w:lineRule="exact"/>
        <w:ind w:firstLine="494" w:firstLineChars="206"/>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1.从响应文件接收截止之日算起，</w:t>
      </w:r>
      <w:r>
        <w:rPr>
          <w:rStyle w:val="43"/>
          <w:rFonts w:hint="eastAsia" w:ascii="宋体" w:hAnsi="宋体" w:eastAsia="宋体" w:cs="宋体"/>
          <w:color w:val="auto"/>
          <w:sz w:val="24"/>
          <w:szCs w:val="24"/>
          <w:highlight w:val="none"/>
          <w:u w:val="single" w:color="000000"/>
        </w:rPr>
        <w:t>45</w:t>
      </w:r>
      <w:r>
        <w:rPr>
          <w:rStyle w:val="43"/>
          <w:rFonts w:hint="eastAsia" w:ascii="宋体" w:hAnsi="宋体" w:eastAsia="宋体" w:cs="宋体"/>
          <w:color w:val="auto"/>
          <w:sz w:val="24"/>
          <w:szCs w:val="24"/>
          <w:highlight w:val="none"/>
        </w:rPr>
        <w:t>个日历天内响应文件应保持有效。有效期短于这个规定期限的，比选响应将被拒绝。</w:t>
      </w:r>
    </w:p>
    <w:p w14:paraId="11DF43E5">
      <w:pPr>
        <w:shd w:val="clear"/>
        <w:snapToGrid w:val="0"/>
        <w:spacing w:line="500" w:lineRule="exact"/>
        <w:ind w:firstLine="494" w:firstLineChars="206"/>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2.在特殊情况下，</w:t>
      </w:r>
      <w:r>
        <w:rPr>
          <w:rStyle w:val="43"/>
          <w:rFonts w:hint="eastAsia" w:ascii="宋体" w:hAnsi="宋体" w:eastAsia="宋体" w:cs="宋体"/>
          <w:color w:val="auto"/>
          <w:sz w:val="24"/>
          <w:szCs w:val="24"/>
          <w:highlight w:val="none"/>
          <w:lang w:val="en-US" w:eastAsia="zh-CN"/>
        </w:rPr>
        <w:t>采购人</w:t>
      </w:r>
      <w:r>
        <w:rPr>
          <w:rStyle w:val="43"/>
          <w:rFonts w:hint="eastAsia" w:ascii="宋体" w:hAnsi="宋体" w:eastAsia="宋体" w:cs="宋体"/>
          <w:color w:val="auto"/>
          <w:sz w:val="24"/>
          <w:szCs w:val="24"/>
          <w:highlight w:val="none"/>
        </w:rPr>
        <w:t>可与供应商协商延长响应文件的有效期。这种要求和答复都应以书面、传真、或电报的形式进行。同意延长有效期的供应商不能修改响应文件。拒绝接受延期要求的供应商的响应文件将被拒绝。</w:t>
      </w:r>
    </w:p>
    <w:p w14:paraId="4FE6CB01">
      <w:pPr>
        <w:shd w:val="clear"/>
        <w:snapToGrid w:val="0"/>
        <w:ind w:firstLine="494" w:firstLineChars="206"/>
        <w:rPr>
          <w:rStyle w:val="43"/>
          <w:rFonts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八、报价</w:t>
      </w:r>
    </w:p>
    <w:p w14:paraId="6F376CD9">
      <w:pPr>
        <w:shd w:val="clear"/>
        <w:snapToGrid w:val="0"/>
        <w:ind w:firstLine="494" w:firstLineChars="206"/>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1.本项目不接受任何有选择的报价。</w:t>
      </w:r>
    </w:p>
    <w:p w14:paraId="0C99C654">
      <w:pPr>
        <w:shd w:val="clear"/>
        <w:snapToGrid w:val="0"/>
        <w:ind w:firstLine="494" w:firstLineChars="206"/>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2.报价均以人民币为报价的币种。</w:t>
      </w:r>
    </w:p>
    <w:p w14:paraId="6A558456">
      <w:pPr>
        <w:shd w:val="clear"/>
        <w:snapToGrid w:val="0"/>
        <w:ind w:firstLine="494" w:firstLineChars="206"/>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3.报价表必须加盖供应商公章且必须经法定代表人或被授权人签字或盖章。</w:t>
      </w:r>
    </w:p>
    <w:p w14:paraId="22A91DBF">
      <w:pPr>
        <w:shd w:val="clear"/>
        <w:snapToGrid w:val="0"/>
        <w:ind w:firstLine="494" w:firstLineChars="206"/>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4.报价（以人民币计价）应包含</w:t>
      </w:r>
      <w:r>
        <w:rPr>
          <w:rStyle w:val="43"/>
          <w:rFonts w:hint="eastAsia" w:ascii="宋体" w:hAnsi="宋体" w:eastAsia="宋体" w:cs="宋体"/>
          <w:color w:val="auto"/>
          <w:sz w:val="24"/>
          <w:szCs w:val="24"/>
          <w:highlight w:val="none"/>
          <w:lang w:val="en-US" w:eastAsia="zh-CN"/>
        </w:rPr>
        <w:t>设备的成本</w:t>
      </w:r>
      <w:r>
        <w:rPr>
          <w:rStyle w:val="43"/>
          <w:rFonts w:hint="eastAsia" w:ascii="宋体" w:hAnsi="宋体" w:eastAsia="宋体" w:cs="宋体"/>
          <w:color w:val="auto"/>
          <w:sz w:val="24"/>
          <w:szCs w:val="24"/>
          <w:highlight w:val="none"/>
        </w:rPr>
        <w:t>、利润、税金、市场材料价格风险费、政策性调整风险费等的所有费用；包装、运输、保险、装卸、搬运费、技术措施费、机械进出场费、保管费；安装调试费、主材及标准附件、备品备件、辅材、专用工具、技术资料、损耗、人工费、机械费、检测费、管理费、利润；</w:t>
      </w:r>
      <w:r>
        <w:rPr>
          <w:rStyle w:val="43"/>
          <w:rFonts w:hint="eastAsia" w:ascii="宋体" w:hAnsi="宋体" w:eastAsia="宋体" w:cs="宋体"/>
          <w:color w:val="auto"/>
          <w:sz w:val="24"/>
          <w:szCs w:val="24"/>
          <w:highlight w:val="none"/>
          <w:lang w:val="en-US" w:eastAsia="zh-CN"/>
        </w:rPr>
        <w:t>维护保养费、性能测试费、维修费、清洁费、工具费、辅材费、人工劳务费、零部件材料费、易耗品和设备重要部件的备件费；国家税务部门规定的各项税金；原材料的涨价及政策性调整等风险费；相关伴</w:t>
      </w:r>
      <w:r>
        <w:rPr>
          <w:rStyle w:val="43"/>
          <w:rFonts w:hint="eastAsia" w:ascii="宋体" w:hAnsi="宋体" w:eastAsia="宋体" w:cs="宋体"/>
          <w:color w:val="auto"/>
          <w:sz w:val="24"/>
          <w:szCs w:val="24"/>
          <w:highlight w:val="none"/>
        </w:rPr>
        <w:t>随服务以及质保、售后服务等一切费用；即本项目采购的标的物交付使用前的所有费用以及免费质保期内的服务费用等包含响应比选文件采购要求的所有费用。</w:t>
      </w:r>
    </w:p>
    <w:p w14:paraId="5BBD8C83">
      <w:pPr>
        <w:shd w:val="clear"/>
        <w:snapToGrid w:val="0"/>
        <w:ind w:firstLine="494" w:firstLineChars="206"/>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5.报价出现前后不一致的，按照下列规定修正：</w:t>
      </w:r>
    </w:p>
    <w:p w14:paraId="4E0C330E">
      <w:pPr>
        <w:shd w:val="clear"/>
        <w:snapToGrid w:val="0"/>
        <w:ind w:firstLine="494" w:firstLineChars="206"/>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（1）响应文件中报价表（开标一览表）内容与响应文件技术响应中内容明细不一致的，以报价表（开标一览表）为准；</w:t>
      </w:r>
    </w:p>
    <w:p w14:paraId="0EFC481C">
      <w:pPr>
        <w:shd w:val="clear"/>
        <w:snapToGrid w:val="0"/>
        <w:ind w:firstLine="494" w:firstLineChars="206"/>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（2）响应文件中涉及大写金额和小写金额不一致的，以大写金额为准；</w:t>
      </w:r>
    </w:p>
    <w:p w14:paraId="09026334">
      <w:pPr>
        <w:shd w:val="clear"/>
        <w:snapToGrid w:val="0"/>
        <w:ind w:firstLine="494" w:firstLineChars="206"/>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（3）单价金额小数点或者百分比有明显错位的，以报价表（开标一览表）的总价为准，并修改单价；</w:t>
      </w:r>
    </w:p>
    <w:p w14:paraId="5286283A">
      <w:pPr>
        <w:shd w:val="clear"/>
        <w:snapToGrid w:val="0"/>
        <w:ind w:firstLine="494" w:firstLineChars="206"/>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（4）总价金额与按单价汇总金额不一致的，以单价金额计算结果为准。</w:t>
      </w:r>
    </w:p>
    <w:p w14:paraId="7D61D6E7">
      <w:pPr>
        <w:shd w:val="clear"/>
        <w:snapToGrid w:val="0"/>
        <w:ind w:firstLine="494" w:firstLineChars="206"/>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同时出现两种以上不一致的，按照前款规定的顺序修正。修正后的报价应当由供应商的法定代表人或分支机构负责人或其被授权人签字确认后产生约束力，供应商不确认的，其比选响应无效。</w:t>
      </w:r>
    </w:p>
    <w:p w14:paraId="37DB146E">
      <w:pPr>
        <w:shd w:val="clear"/>
        <w:snapToGrid w:val="0"/>
        <w:ind w:firstLine="494" w:firstLineChars="206"/>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6.一次报定的</w:t>
      </w:r>
      <w:r>
        <w:rPr>
          <w:rStyle w:val="43"/>
          <w:rFonts w:hint="eastAsia" w:ascii="宋体" w:hAnsi="宋体" w:eastAsia="宋体" w:cs="宋体"/>
          <w:bCs/>
          <w:color w:val="auto"/>
          <w:sz w:val="24"/>
          <w:szCs w:val="24"/>
          <w:highlight w:val="none"/>
        </w:rPr>
        <w:t>价格</w:t>
      </w:r>
      <w:r>
        <w:rPr>
          <w:rStyle w:val="43"/>
          <w:rFonts w:hint="eastAsia" w:ascii="宋体" w:hAnsi="宋体" w:eastAsia="宋体" w:cs="宋体"/>
          <w:color w:val="auto"/>
          <w:sz w:val="24"/>
          <w:szCs w:val="24"/>
          <w:highlight w:val="none"/>
        </w:rPr>
        <w:t>为中选价，同时，已确定的中选价在合同实施期间不因市场变化因素而变动。</w:t>
      </w:r>
    </w:p>
    <w:p w14:paraId="507910FE">
      <w:pPr>
        <w:shd w:val="clear"/>
        <w:snapToGrid w:val="0"/>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7.供应商应详细阅读比选文件的全部内容，根据采购项目需求，准确制定相关工作方案等，必须对本采购项目全部进行报价，如有漏项，视同对本项目的优惠。不按比选文件的要求提供响应文件，导致报价无效，按无效响应处理。</w:t>
      </w:r>
    </w:p>
    <w:p w14:paraId="1BB10523">
      <w:pPr>
        <w:shd w:val="clear"/>
        <w:snapToGrid w:val="0"/>
        <w:ind w:firstLine="480" w:firstLineChars="200"/>
        <w:rPr>
          <w:rStyle w:val="43"/>
          <w:rFonts w:ascii="宋体" w:hAnsi="宋体" w:eastAsia="宋体" w:cs="宋体"/>
          <w:b/>
          <w:bCs/>
          <w:color w:val="auto"/>
          <w:sz w:val="24"/>
          <w:szCs w:val="24"/>
          <w:highlight w:val="none"/>
          <w:lang w:val="zh-CN"/>
        </w:rPr>
      </w:pPr>
      <w:r>
        <w:rPr>
          <w:rStyle w:val="43"/>
          <w:rFonts w:hint="eastAsia" w:ascii="宋体" w:hAnsi="宋体" w:eastAsia="宋体" w:cs="宋体"/>
          <w:b/>
          <w:bCs/>
          <w:color w:val="auto"/>
          <w:sz w:val="24"/>
          <w:szCs w:val="24"/>
          <w:highlight w:val="none"/>
          <w:lang w:val="zh-CN"/>
        </w:rPr>
        <w:t>九、</w:t>
      </w:r>
      <w:r>
        <w:rPr>
          <w:rStyle w:val="43"/>
          <w:rFonts w:hint="eastAsia" w:ascii="宋体" w:hAnsi="宋体" w:eastAsia="宋体" w:cs="宋体"/>
          <w:b/>
          <w:bCs/>
          <w:color w:val="auto"/>
          <w:sz w:val="24"/>
          <w:szCs w:val="24"/>
          <w:highlight w:val="none"/>
        </w:rPr>
        <w:t>比选</w:t>
      </w:r>
      <w:r>
        <w:rPr>
          <w:rStyle w:val="43"/>
          <w:rFonts w:hint="eastAsia" w:ascii="宋体" w:hAnsi="宋体" w:eastAsia="宋体" w:cs="宋体"/>
          <w:b/>
          <w:bCs/>
          <w:color w:val="auto"/>
          <w:sz w:val="24"/>
          <w:szCs w:val="24"/>
          <w:highlight w:val="none"/>
          <w:lang w:val="zh-CN"/>
        </w:rPr>
        <w:t>费用</w:t>
      </w:r>
    </w:p>
    <w:p w14:paraId="5665898C">
      <w:pPr>
        <w:shd w:val="clear"/>
        <w:snapToGrid w:val="0"/>
        <w:ind w:firstLine="470" w:firstLineChars="196"/>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无论比选过程和结果如何，参加比选的供应商自行承担与本次项目比选有关的全部费用。</w:t>
      </w:r>
    </w:p>
    <w:p w14:paraId="2D90DF5E">
      <w:pPr>
        <w:shd w:val="clear"/>
        <w:snapToGrid w:val="0"/>
        <w:ind w:firstLine="480" w:firstLineChars="200"/>
        <w:rPr>
          <w:rStyle w:val="43"/>
          <w:rFonts w:ascii="宋体" w:hAnsi="宋体" w:eastAsia="宋体" w:cs="宋体"/>
          <w:b/>
          <w:bCs/>
          <w:color w:val="auto"/>
          <w:sz w:val="24"/>
          <w:szCs w:val="24"/>
          <w:highlight w:val="none"/>
          <w:lang w:val="zh-CN"/>
        </w:rPr>
      </w:pPr>
      <w:r>
        <w:rPr>
          <w:rStyle w:val="43"/>
          <w:rFonts w:hint="eastAsia" w:ascii="宋体" w:hAnsi="宋体" w:eastAsia="宋体" w:cs="宋体"/>
          <w:b/>
          <w:bCs/>
          <w:color w:val="auto"/>
          <w:sz w:val="24"/>
          <w:szCs w:val="24"/>
          <w:highlight w:val="none"/>
          <w:lang w:val="zh-CN"/>
        </w:rPr>
        <w:t>十、响应文件递交时间及地址</w:t>
      </w:r>
    </w:p>
    <w:p w14:paraId="6006B5FE">
      <w:pPr>
        <w:shd w:val="clear"/>
        <w:snapToGrid w:val="0"/>
        <w:ind w:firstLine="480" w:firstLineChars="200"/>
        <w:rPr>
          <w:rStyle w:val="43"/>
          <w:rFonts w:ascii="宋体" w:hAnsi="宋体" w:eastAsia="宋体" w:cs="宋体"/>
          <w:b/>
          <w:bCs/>
          <w:color w:val="auto"/>
          <w:sz w:val="24"/>
          <w:szCs w:val="24"/>
          <w:highlight w:val="none"/>
          <w:lang w:val="zh-CN"/>
        </w:rPr>
      </w:pPr>
      <w:r>
        <w:rPr>
          <w:rStyle w:val="43"/>
          <w:rFonts w:hint="eastAsia" w:ascii="宋体" w:hAnsi="宋体" w:eastAsia="宋体" w:cs="宋体"/>
          <w:color w:val="auto"/>
          <w:sz w:val="24"/>
          <w:szCs w:val="24"/>
          <w:highlight w:val="none"/>
        </w:rPr>
        <w:t>供应商必须在规定的时间将响应文件送达指定地点，采购单位拒绝接收在截止时间后递交的响应文件。</w:t>
      </w:r>
    </w:p>
    <w:p w14:paraId="1BD5614B">
      <w:pPr>
        <w:shd w:val="clear"/>
        <w:snapToGrid w:val="0"/>
        <w:ind w:firstLine="477" w:firstLineChars="199"/>
        <w:rPr>
          <w:rStyle w:val="43"/>
          <w:rFonts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十一、未尽事宜</w:t>
      </w:r>
    </w:p>
    <w:p w14:paraId="41141919">
      <w:pPr>
        <w:shd w:val="clear"/>
        <w:snapToGrid w:val="0"/>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按有关的法律法规的规定执行。</w:t>
      </w:r>
    </w:p>
    <w:p w14:paraId="23810A94">
      <w:pPr>
        <w:shd w:val="clear"/>
        <w:tabs>
          <w:tab w:val="left" w:pos="1050"/>
          <w:tab w:val="right" w:leader="dot" w:pos="9402"/>
        </w:tabs>
        <w:snapToGrid w:val="0"/>
        <w:spacing w:line="520" w:lineRule="exact"/>
        <w:jc w:val="center"/>
        <w:rPr>
          <w:rStyle w:val="43"/>
          <w:rFonts w:ascii="宋体" w:hAnsi="宋体" w:eastAsia="宋体" w:cs="宋体"/>
          <w:b/>
          <w:bCs/>
          <w:color w:val="auto"/>
          <w:w w:val="80"/>
          <w:sz w:val="21"/>
          <w:szCs w:val="21"/>
          <w:highlight w:val="none"/>
        </w:rPr>
        <w:sectPr>
          <w:headerReference r:id="rId11" w:type="default"/>
          <w:pgSz w:w="11906" w:h="16838"/>
          <w:pgMar w:top="1134" w:right="1134" w:bottom="1134" w:left="1134" w:header="851" w:footer="850" w:gutter="0"/>
          <w:cols w:space="720" w:num="1"/>
          <w:docGrid w:type="linesAndChars" w:linePitch="354" w:charSpace="0"/>
        </w:sectPr>
      </w:pPr>
    </w:p>
    <w:p w14:paraId="237C1F68">
      <w:pPr>
        <w:shd w:val="clear"/>
        <w:tabs>
          <w:tab w:val="left" w:pos="1050"/>
          <w:tab w:val="right" w:leader="dot" w:pos="9402"/>
        </w:tabs>
        <w:snapToGrid w:val="0"/>
        <w:spacing w:line="480" w:lineRule="exact"/>
        <w:jc w:val="center"/>
        <w:rPr>
          <w:rStyle w:val="43"/>
          <w:rFonts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第三章  项目需求</w:t>
      </w:r>
    </w:p>
    <w:p w14:paraId="248809BA">
      <w:pPr>
        <w:widowControl w:val="0"/>
        <w:shd w:val="clear"/>
        <w:textAlignment w:val="auto"/>
        <w:rPr>
          <w:rFonts w:ascii="宋体" w:hAnsi="宋体" w:eastAsia="宋体" w:cs="宋体"/>
          <w:b/>
          <w:color w:val="auto"/>
          <w:sz w:val="24"/>
          <w:szCs w:val="24"/>
          <w:highlight w:val="none"/>
        </w:rPr>
      </w:pPr>
    </w:p>
    <w:p w14:paraId="16F04AA9">
      <w:pPr>
        <w:keepNext w:val="0"/>
        <w:keepLines w:val="0"/>
        <w:pageBreakBefore w:val="0"/>
        <w:widowControl w:val="0"/>
        <w:shd w:val="clear"/>
        <w:kinsoku/>
        <w:wordWrap/>
        <w:overflowPunct/>
        <w:topLinePunct w:val="0"/>
        <w:autoSpaceDE/>
        <w:autoSpaceDN/>
        <w:bidi w:val="0"/>
        <w:adjustRightInd/>
        <w:snapToGrid/>
        <w:spacing w:line="360" w:lineRule="auto"/>
        <w:jc w:val="both"/>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一、技术参数</w:t>
      </w:r>
    </w:p>
    <w:p w14:paraId="7290230F">
      <w:pPr>
        <w:keepNext w:val="0"/>
        <w:keepLines w:val="0"/>
        <w:pageBreakBefore w:val="0"/>
        <w:widowControl/>
        <w:shd w:val="clear"/>
        <w:kinsoku/>
        <w:wordWrap/>
        <w:overflowPunct/>
        <w:topLinePunct w:val="0"/>
        <w:autoSpaceDE/>
        <w:autoSpaceDN/>
        <w:bidi w:val="0"/>
        <w:adjustRightInd/>
        <w:snapToGrid/>
        <w:ind w:firstLine="482" w:firstLineChars="200"/>
        <w:textAlignment w:val="baseline"/>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冰箱（1台）</w:t>
      </w:r>
    </w:p>
    <w:p w14:paraId="7EE378DE">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000000" w:themeColor="text1"/>
          <w:kern w:val="0"/>
          <w:sz w:val="24"/>
          <w:szCs w:val="24"/>
          <w14:textFill>
            <w14:solidFill>
              <w14:schemeClr w14:val="tx1"/>
            </w14:solidFill>
          </w14:textFill>
        </w:rPr>
        <w:t>箱内温度 -40℃ ~-86℃可调</w:t>
      </w:r>
      <w:r>
        <w:rPr>
          <w:rFonts w:hint="eastAsia" w:ascii="宋体" w:hAnsi="宋体" w:eastAsia="宋体" w:cs="宋体"/>
          <w:color w:val="auto"/>
          <w:sz w:val="24"/>
          <w:szCs w:val="24"/>
          <w:highlight w:val="none"/>
          <w:lang w:val="en-US" w:eastAsia="zh-CN"/>
        </w:rPr>
        <w:t>；</w:t>
      </w:r>
    </w:p>
    <w:p w14:paraId="25196102">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PingFang SC" w:hAnsi="PingFang SC" w:eastAsia="PingFang SC" w:cs="PingFang SC"/>
          <w:color w:val="000000" w:themeColor="text1"/>
          <w:kern w:val="0"/>
          <w:sz w:val="24"/>
          <w:szCs w:val="24"/>
          <w14:textFill>
            <w14:solidFill>
              <w14:schemeClr w14:val="tx1"/>
            </w14:solidFill>
          </w14:textFill>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000000" w:themeColor="text1"/>
          <w:kern w:val="0"/>
          <w:sz w:val="24"/>
          <w:szCs w:val="24"/>
          <w14:textFill>
            <w14:solidFill>
              <w14:schemeClr w14:val="tx1"/>
            </w14:solidFill>
          </w14:textFill>
        </w:rPr>
        <w:t>微电脑控制，高性能LCD电容屏</w:t>
      </w:r>
      <w:r>
        <w:rPr>
          <w:rFonts w:hint="eastAsia" w:ascii="宋体" w:hAnsi="宋体" w:eastAsia="宋体" w:cs="宋体"/>
          <w:color w:val="000000" w:themeColor="text1"/>
          <w:kern w:val="0"/>
          <w:sz w:val="24"/>
          <w:szCs w:val="24"/>
          <w:lang w:eastAsia="zh-CN"/>
          <w14:textFill>
            <w14:solidFill>
              <w14:schemeClr w14:val="tx1"/>
            </w14:solidFill>
          </w14:textFill>
        </w:rPr>
        <w:t>（</w:t>
      </w:r>
      <w:r>
        <w:rPr>
          <w:rFonts w:hint="eastAsia" w:ascii="宋体" w:hAnsi="宋体" w:eastAsia="宋体" w:cs="宋体"/>
          <w:color w:val="000000" w:themeColor="text1"/>
          <w:kern w:val="0"/>
          <w:sz w:val="24"/>
          <w:szCs w:val="24"/>
          <w:lang w:val="en-US" w:eastAsia="zh-CN"/>
          <w14:textFill>
            <w14:solidFill>
              <w14:schemeClr w14:val="tx1"/>
            </w14:solidFill>
          </w14:textFill>
        </w:rPr>
        <w:t>屏幕≥8寸</w:t>
      </w:r>
      <w:r>
        <w:rPr>
          <w:rFonts w:hint="eastAsia" w:ascii="宋体" w:hAnsi="宋体" w:eastAsia="宋体" w:cs="宋体"/>
          <w:color w:val="000000" w:themeColor="text1"/>
          <w:kern w:val="0"/>
          <w:sz w:val="24"/>
          <w:szCs w:val="24"/>
          <w:lang w:eastAsia="zh-CN"/>
          <w14:textFill>
            <w14:solidFill>
              <w14:schemeClr w14:val="tx1"/>
            </w14:solidFill>
          </w14:textFill>
        </w:rPr>
        <w:t>）</w:t>
      </w:r>
      <w:r>
        <w:rPr>
          <w:rFonts w:hint="eastAsia" w:ascii="宋体" w:hAnsi="宋体" w:eastAsia="宋体" w:cs="宋体"/>
          <w:color w:val="000000" w:themeColor="text1"/>
          <w:kern w:val="0"/>
          <w:sz w:val="24"/>
          <w:szCs w:val="24"/>
          <w14:textFill>
            <w14:solidFill>
              <w14:schemeClr w14:val="tx1"/>
            </w14:solidFill>
          </w14:textFill>
        </w:rPr>
        <w:t>，直观显示箱内温度、环境温度、输入电压和温度曲线等数据，显示精度0.1℃，可连接wifi实现网络功能</w:t>
      </w:r>
      <w:r>
        <w:rPr>
          <w:rFonts w:hint="eastAsia" w:ascii="宋体" w:hAnsi="宋体" w:eastAsia="宋体" w:cs="宋体"/>
          <w:color w:val="auto"/>
          <w:sz w:val="24"/>
          <w:szCs w:val="24"/>
          <w:highlight w:val="none"/>
          <w:lang w:val="en-US" w:eastAsia="zh-CN"/>
        </w:rPr>
        <w:t>；</w:t>
      </w:r>
    </w:p>
    <w:p w14:paraId="232BB27D">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PingFang SC" w:hAnsi="PingFang SC" w:eastAsia="PingFang SC" w:cs="PingFang SC"/>
          <w:color w:val="000000" w:themeColor="text1"/>
          <w:kern w:val="0"/>
          <w:sz w:val="24"/>
          <w:szCs w:val="24"/>
          <w14:textFill>
            <w14:solidFill>
              <w14:schemeClr w14:val="tx1"/>
            </w14:solidFill>
          </w14:textFill>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000000" w:themeColor="text1"/>
          <w:kern w:val="0"/>
          <w:sz w:val="24"/>
          <w:szCs w:val="24"/>
          <w14:textFill>
            <w14:solidFill>
              <w14:schemeClr w14:val="tx1"/>
            </w14:solidFill>
          </w14:textFill>
        </w:rPr>
        <w:t>有效容积≥72</w:t>
      </w:r>
      <w:r>
        <w:rPr>
          <w:rFonts w:hint="eastAsia" w:ascii="宋体" w:hAnsi="宋体" w:eastAsia="宋体" w:cs="宋体"/>
          <w:color w:val="000000" w:themeColor="text1"/>
          <w:kern w:val="0"/>
          <w:sz w:val="24"/>
          <w:szCs w:val="24"/>
          <w:lang w:val="en-US" w:eastAsia="zh-CN"/>
          <w14:textFill>
            <w14:solidFill>
              <w14:schemeClr w14:val="tx1"/>
            </w14:solidFill>
          </w14:textFill>
        </w:rPr>
        <w:t>0</w:t>
      </w:r>
      <w:r>
        <w:rPr>
          <w:rFonts w:hint="eastAsia" w:ascii="宋体" w:hAnsi="宋体" w:eastAsia="宋体" w:cs="宋体"/>
          <w:color w:val="000000" w:themeColor="text1"/>
          <w:kern w:val="0"/>
          <w:sz w:val="24"/>
          <w:szCs w:val="24"/>
          <w14:textFill>
            <w14:solidFill>
              <w14:schemeClr w14:val="tx1"/>
            </w14:solidFill>
          </w14:textFill>
        </w:rPr>
        <w:t>L，整机装箱量（2ml冻存管容量）</w:t>
      </w:r>
      <w:r>
        <w:rPr>
          <w:rFonts w:hint="eastAsia" w:ascii="宋体" w:hAnsi="宋体" w:eastAsia="宋体" w:cs="宋体"/>
          <w:color w:val="000000" w:themeColor="text1"/>
          <w:kern w:val="0"/>
          <w:sz w:val="24"/>
          <w:szCs w:val="24"/>
          <w:lang w:val="en-US" w:eastAsia="zh-CN"/>
          <w14:textFill>
            <w14:solidFill>
              <w14:schemeClr w14:val="tx1"/>
            </w14:solidFill>
          </w14:textFill>
        </w:rPr>
        <w:t>不少于</w:t>
      </w:r>
      <w:r>
        <w:rPr>
          <w:rFonts w:hint="eastAsia" w:ascii="宋体" w:hAnsi="宋体" w:eastAsia="宋体" w:cs="宋体"/>
          <w:color w:val="000000" w:themeColor="text1"/>
          <w:kern w:val="0"/>
          <w:sz w:val="24"/>
          <w:szCs w:val="24"/>
          <w14:textFill>
            <w14:solidFill>
              <w14:schemeClr w14:val="tx1"/>
            </w14:solidFill>
          </w14:textFill>
        </w:rPr>
        <w:t>50000份样本</w:t>
      </w:r>
      <w:r>
        <w:rPr>
          <w:rFonts w:hint="eastAsia" w:ascii="宋体" w:hAnsi="宋体" w:eastAsia="宋体" w:cs="宋体"/>
          <w:color w:val="auto"/>
          <w:sz w:val="24"/>
          <w:szCs w:val="24"/>
          <w:highlight w:val="none"/>
          <w:lang w:val="en-US" w:eastAsia="zh-CN"/>
        </w:rPr>
        <w:t>；</w:t>
      </w:r>
    </w:p>
    <w:p w14:paraId="3132C97E">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000000" w:themeColor="text1"/>
          <w:kern w:val="0"/>
          <w:sz w:val="24"/>
          <w:szCs w:val="24"/>
          <w14:textFill>
            <w14:solidFill>
              <w14:schemeClr w14:val="tx1"/>
            </w14:solidFill>
          </w14:textFill>
        </w:rPr>
        <w:t>具有运行指示灯，正常运行显示绿色，出现报警或故障显示红色或黄色</w:t>
      </w:r>
      <w:r>
        <w:rPr>
          <w:rFonts w:hint="eastAsia" w:ascii="宋体" w:hAnsi="宋体" w:eastAsia="宋体" w:cs="宋体"/>
          <w:color w:val="auto"/>
          <w:sz w:val="24"/>
          <w:szCs w:val="24"/>
          <w:highlight w:val="none"/>
          <w:lang w:val="en-US" w:eastAsia="zh-CN"/>
        </w:rPr>
        <w:t>；</w:t>
      </w:r>
    </w:p>
    <w:p w14:paraId="3F20A46A">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000000" w:themeColor="text1"/>
          <w:kern w:val="0"/>
          <w:sz w:val="24"/>
          <w:szCs w:val="24"/>
          <w14:textFill>
            <w14:solidFill>
              <w14:schemeClr w14:val="tx1"/>
            </w14:solidFill>
          </w14:textFill>
        </w:rPr>
        <w:t>具有多种故障报警，高低温报警、传感器故障报警、冷凝器脏报警、环温超标报警、断电报警、开门报警、电池未连接报警；报警方式，声音蜂鸣报警、灯光闪烁报警</w:t>
      </w:r>
      <w:r>
        <w:rPr>
          <w:rFonts w:hint="eastAsia" w:ascii="宋体" w:hAnsi="宋体" w:eastAsia="宋体" w:cs="宋体"/>
          <w:color w:val="auto"/>
          <w:sz w:val="24"/>
          <w:szCs w:val="24"/>
          <w:highlight w:val="none"/>
          <w:lang w:val="en-US" w:eastAsia="zh-CN"/>
        </w:rPr>
        <w:t>；</w:t>
      </w:r>
    </w:p>
    <w:p w14:paraId="7A82258B">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PingFang SC" w:hAnsi="PingFang SC" w:eastAsia="PingFang SC" w:cs="PingFang SC"/>
          <w:color w:val="000000" w:themeColor="text1"/>
          <w:kern w:val="0"/>
          <w:sz w:val="24"/>
          <w:szCs w:val="24"/>
          <w14:textFill>
            <w14:solidFill>
              <w14:schemeClr w14:val="tx1"/>
            </w14:solidFill>
          </w14:textFill>
        </w:rPr>
        <w:t>▲</w:t>
      </w:r>
      <w:r>
        <w:rPr>
          <w:rFonts w:hint="eastAsia" w:ascii="宋体" w:hAnsi="宋体" w:eastAsia="宋体" w:cs="宋体"/>
          <w:color w:val="auto"/>
          <w:sz w:val="24"/>
          <w:szCs w:val="24"/>
          <w:highlight w:val="none"/>
          <w:lang w:val="en-US" w:eastAsia="zh-CN"/>
        </w:rPr>
        <w:t>6.具有</w:t>
      </w:r>
      <w:r>
        <w:rPr>
          <w:rFonts w:hint="eastAsia" w:ascii="宋体" w:hAnsi="宋体" w:eastAsia="宋体" w:cs="宋体"/>
          <w:color w:val="000000" w:themeColor="text1"/>
          <w:kern w:val="0"/>
          <w:sz w:val="24"/>
          <w:szCs w:val="24"/>
          <w14:textFill>
            <w14:solidFill>
              <w14:schemeClr w14:val="tx1"/>
            </w14:solidFill>
          </w14:textFill>
        </w:rPr>
        <w:t>多重保护功能，开机延时保护、过电流保护、过压保护、显示屏密码保护、断电记忆数据保护</w:t>
      </w:r>
      <w:r>
        <w:rPr>
          <w:rFonts w:hint="eastAsia" w:ascii="宋体" w:hAnsi="宋体" w:eastAsia="宋体" w:cs="宋体"/>
          <w:color w:val="auto"/>
          <w:sz w:val="24"/>
          <w:szCs w:val="24"/>
          <w:highlight w:val="none"/>
          <w:lang w:val="en-US" w:eastAsia="zh-CN"/>
        </w:rPr>
        <w:t>；</w:t>
      </w:r>
    </w:p>
    <w:p w14:paraId="3CA3DA8B">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000000" w:themeColor="text1"/>
          <w:kern w:val="0"/>
          <w:sz w:val="24"/>
          <w:szCs w:val="24"/>
          <w14:textFill>
            <w14:solidFill>
              <w14:schemeClr w14:val="tx1"/>
            </w14:solidFill>
          </w14:textFill>
        </w:rPr>
        <w:t>采用HC环保制冷剂，制冷效率高，节能环保</w:t>
      </w:r>
      <w:r>
        <w:rPr>
          <w:rFonts w:hint="eastAsia" w:ascii="宋体" w:hAnsi="宋体" w:eastAsia="宋体" w:cs="宋体"/>
          <w:color w:val="auto"/>
          <w:sz w:val="24"/>
          <w:szCs w:val="24"/>
          <w:highlight w:val="none"/>
          <w:lang w:val="en-US" w:eastAsia="zh-CN"/>
        </w:rPr>
        <w:t>；</w:t>
      </w:r>
    </w:p>
    <w:p w14:paraId="6CD6EA10">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000000" w:themeColor="text1"/>
          <w:kern w:val="0"/>
          <w:sz w:val="24"/>
          <w:szCs w:val="24"/>
          <w14:textFill>
            <w14:solidFill>
              <w14:schemeClr w14:val="tx1"/>
            </w14:solidFill>
          </w14:textFill>
        </w:rPr>
        <w:t>采用双级复叠制冷系统，高温级压机和低温级压机配合制冷，制冷效率高</w:t>
      </w:r>
      <w:r>
        <w:rPr>
          <w:rFonts w:hint="eastAsia" w:ascii="宋体" w:hAnsi="宋体" w:eastAsia="宋体" w:cs="宋体"/>
          <w:color w:val="auto"/>
          <w:sz w:val="24"/>
          <w:szCs w:val="24"/>
          <w:highlight w:val="none"/>
          <w:lang w:val="en-US" w:eastAsia="zh-CN"/>
        </w:rPr>
        <w:t>；</w:t>
      </w:r>
    </w:p>
    <w:p w14:paraId="1D8F7529">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000000" w:themeColor="text1"/>
          <w:kern w:val="0"/>
          <w:sz w:val="24"/>
          <w:szCs w:val="24"/>
          <w14:textFill>
            <w14:solidFill>
              <w14:schemeClr w14:val="tx1"/>
            </w14:solidFill>
          </w14:textFill>
        </w:rPr>
        <w:t>根据低温保存箱国家标准GB/T 20154要求，低温保存箱铭牌或标签上要标注制冷剂的详细名称及装入量</w:t>
      </w:r>
      <w:r>
        <w:rPr>
          <w:rFonts w:hint="eastAsia" w:ascii="宋体" w:hAnsi="宋体" w:eastAsia="宋体" w:cs="宋体"/>
          <w:color w:val="auto"/>
          <w:sz w:val="24"/>
          <w:szCs w:val="24"/>
          <w:highlight w:val="none"/>
          <w:lang w:val="en-US" w:eastAsia="zh-CN"/>
        </w:rPr>
        <w:t>；</w:t>
      </w:r>
    </w:p>
    <w:p w14:paraId="1E1314A1">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000000" w:themeColor="text1"/>
          <w:kern w:val="0"/>
          <w:sz w:val="24"/>
          <w:szCs w:val="24"/>
          <w14:textFill>
            <w14:solidFill>
              <w14:schemeClr w14:val="tx1"/>
            </w14:solidFill>
          </w14:textFill>
        </w:rPr>
        <w:t>符合《低温保存箱节能环保认证技术规范》要求，并获取节能、环保报告及证书；提供中国质量中心节能证书和环保证书</w:t>
      </w:r>
      <w:r>
        <w:rPr>
          <w:rFonts w:hint="eastAsia" w:ascii="宋体" w:hAnsi="宋体" w:eastAsia="宋体" w:cs="宋体"/>
          <w:color w:val="000000" w:themeColor="text1"/>
          <w:kern w:val="0"/>
          <w:sz w:val="24"/>
          <w:szCs w:val="24"/>
          <w:lang w:val="en-US" w:eastAsia="zh-CN"/>
          <w14:textFill>
            <w14:solidFill>
              <w14:schemeClr w14:val="tx1"/>
            </w14:solidFill>
          </w14:textFill>
        </w:rPr>
        <w:t>复印件</w:t>
      </w:r>
      <w:r>
        <w:rPr>
          <w:rFonts w:hint="eastAsia" w:ascii="宋体" w:hAnsi="宋体" w:eastAsia="宋体" w:cs="宋体"/>
          <w:color w:val="auto"/>
          <w:sz w:val="24"/>
          <w:szCs w:val="24"/>
          <w:highlight w:val="none"/>
          <w:lang w:val="en-US" w:eastAsia="zh-CN"/>
        </w:rPr>
        <w:t>；</w:t>
      </w:r>
    </w:p>
    <w:p w14:paraId="6CAD5814">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11.具备</w:t>
      </w:r>
      <w:r>
        <w:rPr>
          <w:rFonts w:hint="eastAsia" w:ascii="宋体" w:hAnsi="宋体" w:eastAsia="宋体" w:cs="宋体"/>
          <w:color w:val="000000" w:themeColor="text1"/>
          <w:kern w:val="0"/>
          <w:sz w:val="24"/>
          <w:szCs w:val="24"/>
          <w14:textFill>
            <w14:solidFill>
              <w14:schemeClr w14:val="tx1"/>
            </w14:solidFill>
          </w14:textFill>
        </w:rPr>
        <w:t>压缩机，整机稳定运行功率≤1200W</w:t>
      </w:r>
      <w:r>
        <w:rPr>
          <w:rFonts w:hint="eastAsia" w:ascii="宋体" w:hAnsi="宋体" w:eastAsia="宋体" w:cs="宋体"/>
          <w:color w:val="auto"/>
          <w:sz w:val="24"/>
          <w:szCs w:val="24"/>
          <w:highlight w:val="none"/>
          <w:lang w:val="en-US" w:eastAsia="zh-CN"/>
        </w:rPr>
        <w:t>；</w:t>
      </w:r>
    </w:p>
    <w:p w14:paraId="0036A0AA">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12. </w:t>
      </w:r>
      <w:r>
        <w:rPr>
          <w:rFonts w:hint="eastAsia" w:ascii="宋体" w:hAnsi="宋体" w:eastAsia="宋体" w:cs="宋体"/>
          <w:color w:val="000000" w:themeColor="text1"/>
          <w:kern w:val="0"/>
          <w:sz w:val="24"/>
          <w:szCs w:val="24"/>
          <w14:textFill>
            <w14:solidFill>
              <w14:schemeClr w14:val="tx1"/>
            </w14:solidFill>
          </w14:textFill>
        </w:rPr>
        <w:t>25℃环温时，耗电量应≤10 Kw.h/24h；</w:t>
      </w:r>
    </w:p>
    <w:p w14:paraId="4558D094">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13.</w:t>
      </w:r>
      <w:r>
        <w:rPr>
          <w:rFonts w:hint="eastAsia" w:ascii="宋体" w:hAnsi="宋体" w:eastAsia="宋体" w:cs="宋体"/>
          <w:color w:val="000000" w:themeColor="text1"/>
          <w:kern w:val="0"/>
          <w:sz w:val="24"/>
          <w:szCs w:val="24"/>
          <w14:textFill>
            <w14:solidFill>
              <w14:schemeClr w14:val="tx1"/>
            </w14:solidFill>
          </w14:textFill>
        </w:rPr>
        <w:t>箱内温度均匀性要求，每层5个测试点（四角及中心），整机多于20点测试，温度均匀性≤±5℃；提供国家级别第三方机构报告</w:t>
      </w:r>
      <w:r>
        <w:rPr>
          <w:rFonts w:hint="eastAsia" w:ascii="宋体" w:hAnsi="宋体" w:eastAsia="宋体" w:cs="宋体"/>
          <w:color w:val="auto"/>
          <w:sz w:val="24"/>
          <w:szCs w:val="24"/>
          <w:highlight w:val="none"/>
          <w:lang w:val="en-US" w:eastAsia="zh-CN"/>
        </w:rPr>
        <w:t>；</w:t>
      </w:r>
    </w:p>
    <w:p w14:paraId="31EE1FD8">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14.</w:t>
      </w:r>
      <w:r>
        <w:rPr>
          <w:rFonts w:hint="eastAsia" w:ascii="宋体" w:hAnsi="宋体" w:eastAsia="宋体" w:cs="宋体"/>
          <w:color w:val="000000" w:themeColor="text1"/>
          <w:kern w:val="0"/>
          <w:sz w:val="24"/>
          <w:szCs w:val="24"/>
          <w14:textFill>
            <w14:solidFill>
              <w14:schemeClr w14:val="tx1"/>
            </w14:solidFill>
          </w14:textFill>
        </w:rPr>
        <w:t>一体式手把门锁设计，单手实现开关门。可同时使用暗锁及双挂锁，选配电磁锁（打卡或指纹）</w:t>
      </w:r>
      <w:r>
        <w:rPr>
          <w:rFonts w:hint="eastAsia" w:ascii="宋体" w:hAnsi="宋体" w:eastAsia="宋体" w:cs="宋体"/>
          <w:color w:val="auto"/>
          <w:sz w:val="24"/>
          <w:szCs w:val="24"/>
          <w:highlight w:val="none"/>
          <w:lang w:val="en-US" w:eastAsia="zh-CN"/>
        </w:rPr>
        <w:t>；</w:t>
      </w:r>
    </w:p>
    <w:p w14:paraId="5AB6C533">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15.</w:t>
      </w:r>
      <w:r>
        <w:rPr>
          <w:rFonts w:hint="eastAsia" w:ascii="宋体" w:hAnsi="宋体" w:eastAsia="宋体" w:cs="宋体"/>
          <w:color w:val="000000" w:themeColor="text1"/>
          <w:kern w:val="0"/>
          <w:sz w:val="24"/>
          <w:szCs w:val="24"/>
          <w14:textFill>
            <w14:solidFill>
              <w14:schemeClr w14:val="tx1"/>
            </w14:solidFill>
          </w14:textFill>
        </w:rPr>
        <w:t>4个发泡内门并带密封条设计，外门4层密封，整机共计5层密封，保温效果好</w:t>
      </w:r>
      <w:r>
        <w:rPr>
          <w:rFonts w:hint="eastAsia" w:ascii="宋体" w:hAnsi="宋体" w:eastAsia="宋体" w:cs="宋体"/>
          <w:color w:val="auto"/>
          <w:sz w:val="24"/>
          <w:szCs w:val="24"/>
          <w:highlight w:val="none"/>
          <w:lang w:val="en-US" w:eastAsia="zh-CN"/>
        </w:rPr>
        <w:t>；</w:t>
      </w:r>
    </w:p>
    <w:p w14:paraId="7AADB482">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16.</w:t>
      </w:r>
      <w:r>
        <w:rPr>
          <w:rFonts w:hint="eastAsia" w:ascii="宋体" w:hAnsi="宋体" w:eastAsia="宋体" w:cs="宋体"/>
          <w:color w:val="000000" w:themeColor="text1"/>
          <w:kern w:val="0"/>
          <w:sz w:val="24"/>
          <w:szCs w:val="24"/>
          <w14:textFill>
            <w14:solidFill>
              <w14:schemeClr w14:val="tx1"/>
            </w14:solidFill>
          </w14:textFill>
        </w:rPr>
        <w:t>使用航空真空隔热材料VIP+PU整体发泡（</w:t>
      </w:r>
      <w:r>
        <w:rPr>
          <w:rFonts w:hint="eastAsia" w:ascii="宋体" w:hAnsi="宋体" w:eastAsia="宋体" w:cs="宋体"/>
          <w:color w:val="000000" w:themeColor="text1"/>
          <w:kern w:val="0"/>
          <w:sz w:val="24"/>
          <w:szCs w:val="24"/>
          <w:lang w:val="en-US" w:eastAsia="zh-CN"/>
          <w14:textFill>
            <w14:solidFill>
              <w14:schemeClr w14:val="tx1"/>
            </w14:solidFill>
          </w14:textFill>
        </w:rPr>
        <w:t>厚度</w:t>
      </w:r>
      <w:r>
        <w:rPr>
          <w:rFonts w:hint="eastAsia" w:ascii="宋体" w:hAnsi="宋体" w:eastAsia="宋体" w:cs="宋体"/>
          <w:color w:val="000000" w:themeColor="text1"/>
          <w:kern w:val="0"/>
          <w:sz w:val="24"/>
          <w:szCs w:val="24"/>
          <w14:textFill>
            <w14:solidFill>
              <w14:schemeClr w14:val="tx1"/>
            </w14:solidFill>
          </w14:textFill>
        </w:rPr>
        <w:t>≥90mm），VIP厚度≥25mm</w:t>
      </w:r>
      <w:r>
        <w:rPr>
          <w:rFonts w:hint="eastAsia" w:ascii="宋体" w:hAnsi="宋体" w:eastAsia="宋体" w:cs="宋体"/>
          <w:color w:val="auto"/>
          <w:sz w:val="24"/>
          <w:szCs w:val="24"/>
          <w:highlight w:val="none"/>
          <w:lang w:val="en-US" w:eastAsia="zh-CN"/>
        </w:rPr>
        <w:t>；</w:t>
      </w:r>
    </w:p>
    <w:p w14:paraId="2DBD655F">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17.</w:t>
      </w:r>
      <w:r>
        <w:rPr>
          <w:rFonts w:hint="eastAsia" w:ascii="宋体" w:hAnsi="宋体" w:eastAsia="宋体" w:cs="宋体"/>
          <w:color w:val="000000" w:themeColor="text1"/>
          <w:kern w:val="0"/>
          <w:sz w:val="24"/>
          <w:szCs w:val="24"/>
          <w14:textFill>
            <w14:solidFill>
              <w14:schemeClr w14:val="tx1"/>
            </w14:solidFill>
          </w14:textFill>
        </w:rPr>
        <w:t>内胆为电锌板喷粉，防腐蚀，导热快</w:t>
      </w:r>
      <w:r>
        <w:rPr>
          <w:rFonts w:hint="eastAsia" w:ascii="宋体" w:hAnsi="宋体" w:eastAsia="宋体" w:cs="宋体"/>
          <w:color w:val="auto"/>
          <w:sz w:val="24"/>
          <w:szCs w:val="24"/>
          <w:highlight w:val="none"/>
          <w:lang w:eastAsia="zh-CN"/>
        </w:rPr>
        <w:t>；</w:t>
      </w:r>
    </w:p>
    <w:p w14:paraId="0484BE1C">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18.</w:t>
      </w:r>
      <w:r>
        <w:rPr>
          <w:rFonts w:hint="eastAsia" w:ascii="宋体" w:hAnsi="宋体" w:eastAsia="宋体" w:cs="宋体"/>
          <w:color w:val="000000" w:themeColor="text1"/>
          <w:kern w:val="0"/>
          <w:sz w:val="24"/>
          <w:szCs w:val="24"/>
          <w14:textFill>
            <w14:solidFill>
              <w14:schemeClr w14:val="tx1"/>
            </w14:solidFill>
          </w14:textFill>
        </w:rPr>
        <w:t>具两个测试孔，方便实验使用和监控箱内温度</w:t>
      </w:r>
      <w:r>
        <w:rPr>
          <w:rFonts w:hint="eastAsia" w:ascii="宋体" w:hAnsi="宋体" w:eastAsia="宋体" w:cs="宋体"/>
          <w:color w:val="auto"/>
          <w:sz w:val="24"/>
          <w:szCs w:val="24"/>
          <w:highlight w:val="none"/>
          <w:lang w:val="en-US" w:eastAsia="zh-CN"/>
        </w:rPr>
        <w:t>；</w:t>
      </w:r>
    </w:p>
    <w:p w14:paraId="0C1885EC">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19.</w:t>
      </w:r>
      <w:r>
        <w:rPr>
          <w:rFonts w:hint="eastAsia" w:ascii="宋体" w:hAnsi="宋体" w:eastAsia="宋体" w:cs="宋体"/>
          <w:color w:val="000000" w:themeColor="text1"/>
          <w:kern w:val="0"/>
          <w:sz w:val="24"/>
          <w:szCs w:val="24"/>
          <w14:textFill>
            <w14:solidFill>
              <w14:schemeClr w14:val="tx1"/>
            </w14:solidFill>
          </w14:textFill>
        </w:rPr>
        <w:t>具有内置5V冷链供电系统，确保用电安全，减少外部布线，降低故障风险</w:t>
      </w:r>
      <w:r>
        <w:rPr>
          <w:rFonts w:hint="eastAsia" w:ascii="宋体" w:hAnsi="宋体" w:eastAsia="宋体" w:cs="宋体"/>
          <w:color w:val="auto"/>
          <w:sz w:val="24"/>
          <w:szCs w:val="24"/>
          <w:highlight w:val="none"/>
          <w:lang w:val="en-US" w:eastAsia="zh-CN"/>
        </w:rPr>
        <w:t>；</w:t>
      </w:r>
    </w:p>
    <w:p w14:paraId="7641FB17">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20.</w:t>
      </w:r>
      <w:r>
        <w:rPr>
          <w:rFonts w:hint="eastAsia" w:ascii="宋体" w:hAnsi="宋体" w:eastAsia="宋体" w:cs="宋体"/>
          <w:color w:val="000000" w:themeColor="text1"/>
          <w:kern w:val="0"/>
          <w:sz w:val="24"/>
          <w:szCs w:val="24"/>
          <w14:textFill>
            <w14:solidFill>
              <w14:schemeClr w14:val="tx1"/>
            </w14:solidFill>
          </w14:textFill>
        </w:rPr>
        <w:t>电脑版配置大容量存储空间，实时保存箱内设定温度、实际温度、高、低温报警温度、输入电压、环温等数据，且可通过USB数据接口端口导出全部数据，格式excel和PDF可选，实现数据的可追溯性</w:t>
      </w:r>
      <w:r>
        <w:rPr>
          <w:rFonts w:hint="eastAsia" w:ascii="宋体" w:hAnsi="宋体" w:eastAsia="宋体" w:cs="宋体"/>
          <w:b w:val="0"/>
          <w:bCs w:val="0"/>
          <w:color w:val="auto"/>
          <w:sz w:val="24"/>
          <w:szCs w:val="24"/>
          <w:highlight w:val="none"/>
          <w:lang w:val="en-US" w:eastAsia="zh-CN"/>
        </w:rPr>
        <w:t>；</w:t>
      </w:r>
    </w:p>
    <w:p w14:paraId="6C952F30">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b w:val="0"/>
          <w:bCs w:val="0"/>
          <w:color w:val="auto"/>
          <w:sz w:val="24"/>
          <w:szCs w:val="24"/>
          <w:highlight w:val="none"/>
          <w:lang w:val="en-US" w:eastAsia="zh-CN"/>
        </w:rPr>
        <w:t>21.</w:t>
      </w:r>
      <w:r>
        <w:rPr>
          <w:rFonts w:hint="eastAsia" w:ascii="宋体" w:hAnsi="宋体" w:eastAsia="宋体" w:cs="宋体"/>
          <w:color w:val="000000" w:themeColor="text1"/>
          <w:kern w:val="0"/>
          <w:sz w:val="24"/>
          <w:szCs w:val="24"/>
          <w14:textFill>
            <w14:solidFill>
              <w14:schemeClr w14:val="tx1"/>
            </w14:solidFill>
          </w14:textFill>
        </w:rPr>
        <w:t>标配RS485数据接口，可同计算机网线连接，实现数据通讯</w:t>
      </w:r>
      <w:r>
        <w:rPr>
          <w:rFonts w:hint="eastAsia" w:ascii="宋体" w:hAnsi="宋体" w:eastAsia="宋体" w:cs="宋体"/>
          <w:color w:val="auto"/>
          <w:sz w:val="24"/>
          <w:szCs w:val="24"/>
          <w:highlight w:val="none"/>
          <w:lang w:eastAsia="zh-CN"/>
        </w:rPr>
        <w:t>；</w:t>
      </w:r>
    </w:p>
    <w:p w14:paraId="7A08F2B8">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22.</w:t>
      </w:r>
      <w:r>
        <w:rPr>
          <w:rFonts w:hint="eastAsia" w:ascii="宋体" w:hAnsi="宋体" w:eastAsia="宋体" w:cs="宋体"/>
          <w:color w:val="000000" w:themeColor="text1"/>
          <w:kern w:val="0"/>
          <w:sz w:val="24"/>
          <w:szCs w:val="24"/>
          <w14:textFill>
            <w14:solidFill>
              <w14:schemeClr w14:val="tx1"/>
            </w14:solidFill>
          </w14:textFill>
        </w:rPr>
        <w:t>选配物联，能够在手机app上实时的查看箱内温度、设定温度、高低温报警温度、各种报警记录、以及开关门等事件记录</w:t>
      </w:r>
      <w:r>
        <w:rPr>
          <w:rFonts w:hint="eastAsia" w:ascii="宋体" w:hAnsi="宋体" w:eastAsia="宋体" w:cs="宋体"/>
          <w:color w:val="auto"/>
          <w:sz w:val="24"/>
          <w:szCs w:val="24"/>
          <w:highlight w:val="none"/>
          <w:lang w:eastAsia="zh-CN"/>
        </w:rPr>
        <w:t>；</w:t>
      </w:r>
    </w:p>
    <w:p w14:paraId="16FA129B">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23.</w:t>
      </w:r>
      <w:r>
        <w:rPr>
          <w:rFonts w:hint="eastAsia" w:ascii="宋体" w:hAnsi="宋体" w:eastAsia="宋体" w:cs="宋体"/>
          <w:color w:val="000000" w:themeColor="text1"/>
          <w:kern w:val="0"/>
          <w:sz w:val="24"/>
          <w:szCs w:val="24"/>
          <w14:textFill>
            <w14:solidFill>
              <w14:schemeClr w14:val="tx1"/>
            </w14:solidFill>
          </w14:textFill>
        </w:rPr>
        <w:t>具有留言/记事本功能，方便多用户共用一台冰箱时，相互之间留言，以及自己创建记事本，备忘，可实现无纸办公</w:t>
      </w:r>
      <w:r>
        <w:rPr>
          <w:rFonts w:hint="eastAsia" w:ascii="宋体" w:hAnsi="宋体" w:eastAsia="宋体" w:cs="宋体"/>
          <w:color w:val="auto"/>
          <w:sz w:val="24"/>
          <w:szCs w:val="24"/>
          <w:highlight w:val="none"/>
          <w:lang w:eastAsia="zh-CN"/>
        </w:rPr>
        <w:t>；</w:t>
      </w:r>
    </w:p>
    <w:p w14:paraId="4E7FF4CB">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eastAsia="zh-CN"/>
        </w:rPr>
      </w:pPr>
      <w:r>
        <w:rPr>
          <w:rFonts w:hint="eastAsia" w:ascii="PingFang SC" w:hAnsi="PingFang SC" w:eastAsia="PingFang SC" w:cs="PingFang SC"/>
          <w:color w:val="000000" w:themeColor="text1"/>
          <w:kern w:val="0"/>
          <w:sz w:val="24"/>
          <w:szCs w:val="24"/>
          <w14:textFill>
            <w14:solidFill>
              <w14:schemeClr w14:val="tx1"/>
            </w14:solidFill>
          </w14:textFill>
        </w:rPr>
        <w:t>▲</w:t>
      </w:r>
      <w:r>
        <w:rPr>
          <w:rFonts w:hint="eastAsia" w:ascii="宋体" w:hAnsi="宋体" w:eastAsia="宋体" w:cs="宋体"/>
          <w:color w:val="auto"/>
          <w:sz w:val="24"/>
          <w:szCs w:val="24"/>
          <w:highlight w:val="none"/>
          <w:lang w:val="en-US" w:eastAsia="zh-CN"/>
        </w:rPr>
        <w:t>24.</w:t>
      </w:r>
      <w:r>
        <w:rPr>
          <w:rFonts w:hint="eastAsia" w:ascii="宋体" w:hAnsi="宋体" w:eastAsia="宋体" w:cs="宋体"/>
          <w:color w:val="000000" w:themeColor="text1"/>
          <w:kern w:val="0"/>
          <w:sz w:val="24"/>
          <w:szCs w:val="24"/>
          <w14:textFill>
            <w14:solidFill>
              <w14:schemeClr w14:val="tx1"/>
            </w14:solidFill>
          </w14:textFill>
        </w:rPr>
        <w:t>具有数据上传/下载功能，可以通过USB接口上传和下载箱内温度数据、报警记录以及事件记录等</w:t>
      </w:r>
      <w:r>
        <w:rPr>
          <w:rFonts w:hint="eastAsia" w:ascii="宋体" w:hAnsi="宋体" w:eastAsia="宋体" w:cs="宋体"/>
          <w:color w:val="auto"/>
          <w:sz w:val="24"/>
          <w:szCs w:val="24"/>
          <w:highlight w:val="none"/>
          <w:lang w:eastAsia="zh-CN"/>
        </w:rPr>
        <w:t>；</w:t>
      </w:r>
    </w:p>
    <w:p w14:paraId="70542483">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25.</w:t>
      </w:r>
      <w:r>
        <w:rPr>
          <w:rFonts w:hint="eastAsia" w:ascii="宋体" w:hAnsi="宋体" w:eastAsia="宋体" w:cs="宋体"/>
          <w:color w:val="000000" w:themeColor="text1"/>
          <w:kern w:val="0"/>
          <w:sz w:val="24"/>
          <w:szCs w:val="24"/>
          <w14:textFill>
            <w14:solidFill>
              <w14:schemeClr w14:val="tx1"/>
            </w14:solidFill>
          </w14:textFill>
        </w:rPr>
        <w:t>具有参数自动配置功能，可通过USB接口上传和下载配置文件，将一台冰箱的设置参数和数据等信息复制到其它冰箱</w:t>
      </w:r>
      <w:r>
        <w:rPr>
          <w:rFonts w:hint="eastAsia" w:ascii="宋体" w:hAnsi="宋体" w:eastAsia="宋体" w:cs="宋体"/>
          <w:color w:val="auto"/>
          <w:sz w:val="24"/>
          <w:szCs w:val="24"/>
          <w:highlight w:val="none"/>
          <w:lang w:eastAsia="zh-CN"/>
        </w:rPr>
        <w:t>；</w:t>
      </w:r>
    </w:p>
    <w:p w14:paraId="2E86FEAC">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000000" w:themeColor="text1"/>
          <w:kern w:val="0"/>
          <w:sz w:val="24"/>
          <w:szCs w:val="24"/>
          <w:lang w:eastAsia="zh-CN"/>
          <w14:textFill>
            <w14:solidFill>
              <w14:schemeClr w14:val="tx1"/>
            </w14:solidFill>
          </w14:textFill>
        </w:rPr>
      </w:pPr>
      <w:r>
        <w:rPr>
          <w:rFonts w:hint="eastAsia" w:ascii="宋体" w:hAnsi="宋体" w:eastAsia="宋体" w:cs="宋体"/>
          <w:color w:val="auto"/>
          <w:sz w:val="24"/>
          <w:szCs w:val="24"/>
          <w:highlight w:val="none"/>
          <w:lang w:val="en-US" w:eastAsia="zh-CN"/>
        </w:rPr>
        <w:t>26.</w:t>
      </w:r>
      <w:r>
        <w:rPr>
          <w:rFonts w:hint="eastAsia" w:ascii="宋体" w:hAnsi="宋体" w:eastAsia="宋体" w:cs="宋体"/>
          <w:color w:val="000000" w:themeColor="text1"/>
          <w:kern w:val="0"/>
          <w:sz w:val="24"/>
          <w:szCs w:val="24"/>
          <w14:textFill>
            <w14:solidFill>
              <w14:schemeClr w14:val="tx1"/>
            </w14:solidFill>
          </w14:textFill>
        </w:rPr>
        <w:t>具有事件记录功能，产品能够记录开门事件、密码修改、设置修改、账户登录等信息，且所有记录信息能够下载到电脑上，实现数据分析存档</w:t>
      </w:r>
      <w:r>
        <w:rPr>
          <w:rFonts w:hint="eastAsia" w:ascii="宋体" w:hAnsi="宋体" w:eastAsia="宋体" w:cs="宋体"/>
          <w:color w:val="000000" w:themeColor="text1"/>
          <w:kern w:val="0"/>
          <w:sz w:val="24"/>
          <w:szCs w:val="24"/>
          <w:lang w:eastAsia="zh-CN"/>
          <w14:textFill>
            <w14:solidFill>
              <w14:schemeClr w14:val="tx1"/>
            </w14:solidFill>
          </w14:textFill>
        </w:rPr>
        <w:t>；</w:t>
      </w:r>
    </w:p>
    <w:p w14:paraId="43861A09">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000000" w:themeColor="text1"/>
          <w:kern w:val="0"/>
          <w:sz w:val="24"/>
          <w:szCs w:val="24"/>
          <w:lang w:eastAsia="zh-CN"/>
          <w14:textFill>
            <w14:solidFill>
              <w14:schemeClr w14:val="tx1"/>
            </w14:solidFill>
          </w14:textFill>
        </w:rPr>
      </w:pPr>
      <w:r>
        <w:rPr>
          <w:rFonts w:hint="eastAsia" w:ascii="PingFang SC" w:hAnsi="PingFang SC" w:eastAsia="PingFang SC" w:cs="PingFang SC"/>
          <w:color w:val="000000" w:themeColor="text1"/>
          <w:kern w:val="0"/>
          <w:sz w:val="24"/>
          <w:szCs w:val="24"/>
          <w14:textFill>
            <w14:solidFill>
              <w14:schemeClr w14:val="tx1"/>
            </w14:solidFill>
          </w14:textFill>
        </w:rPr>
        <w:t>▲</w:t>
      </w:r>
      <w:r>
        <w:rPr>
          <w:rFonts w:hint="eastAsia" w:ascii="宋体" w:hAnsi="宋体" w:eastAsia="宋体" w:cs="宋体"/>
          <w:color w:val="000000" w:themeColor="text1"/>
          <w:kern w:val="0"/>
          <w:sz w:val="24"/>
          <w:szCs w:val="24"/>
          <w:lang w:val="en-US" w:eastAsia="zh-CN"/>
          <w14:textFill>
            <w14:solidFill>
              <w14:schemeClr w14:val="tx1"/>
            </w14:solidFill>
          </w14:textFill>
        </w:rPr>
        <w:t>27.</w:t>
      </w:r>
      <w:r>
        <w:rPr>
          <w:rFonts w:hint="eastAsia" w:ascii="宋体" w:hAnsi="宋体" w:eastAsia="宋体" w:cs="宋体"/>
          <w:color w:val="000000" w:themeColor="text1"/>
          <w:kern w:val="0"/>
          <w:sz w:val="24"/>
          <w:szCs w:val="24"/>
          <w14:textFill>
            <w14:solidFill>
              <w14:schemeClr w14:val="tx1"/>
            </w14:solidFill>
          </w14:textFill>
        </w:rPr>
        <w:t>标配单机版样本管理功能，可对大类样本存放位置和数量进行统计、管理</w:t>
      </w:r>
      <w:r>
        <w:rPr>
          <w:rFonts w:hint="eastAsia" w:ascii="宋体" w:hAnsi="宋体" w:eastAsia="宋体" w:cs="宋体"/>
          <w:color w:val="000000" w:themeColor="text1"/>
          <w:kern w:val="0"/>
          <w:sz w:val="24"/>
          <w:szCs w:val="24"/>
          <w:lang w:eastAsia="zh-CN"/>
          <w14:textFill>
            <w14:solidFill>
              <w14:schemeClr w14:val="tx1"/>
            </w14:solidFill>
          </w14:textFill>
        </w:rPr>
        <w:t>；</w:t>
      </w:r>
    </w:p>
    <w:p w14:paraId="74B1B0A7">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000000" w:themeColor="text1"/>
          <w:kern w:val="0"/>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28.</w:t>
      </w:r>
      <w:r>
        <w:rPr>
          <w:rFonts w:hint="eastAsia" w:ascii="宋体" w:hAnsi="宋体" w:eastAsia="宋体" w:cs="宋体"/>
          <w:color w:val="000000" w:themeColor="text1"/>
          <w:kern w:val="0"/>
          <w:sz w:val="24"/>
          <w:szCs w:val="24"/>
          <w14:textFill>
            <w14:solidFill>
              <w14:schemeClr w14:val="tx1"/>
            </w14:solidFill>
          </w14:textFill>
        </w:rPr>
        <w:t>选配可升降托盘，在冰箱存放样本时可进行临时存放</w:t>
      </w:r>
      <w:r>
        <w:rPr>
          <w:rFonts w:hint="eastAsia" w:ascii="宋体" w:hAnsi="宋体" w:eastAsia="宋体" w:cs="宋体"/>
          <w:color w:val="000000" w:themeColor="text1"/>
          <w:kern w:val="0"/>
          <w:sz w:val="24"/>
          <w:szCs w:val="24"/>
          <w:lang w:eastAsia="zh-CN"/>
          <w14:textFill>
            <w14:solidFill>
              <w14:schemeClr w14:val="tx1"/>
            </w14:solidFill>
          </w14:textFill>
        </w:rPr>
        <w:t>；</w:t>
      </w:r>
    </w:p>
    <w:p w14:paraId="34A10C38">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000000" w:themeColor="text1"/>
          <w:kern w:val="0"/>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29.</w:t>
      </w:r>
      <w:r>
        <w:rPr>
          <w:rFonts w:hint="eastAsia" w:ascii="宋体" w:hAnsi="宋体" w:eastAsia="宋体" w:cs="宋体"/>
          <w:color w:val="000000" w:themeColor="text1"/>
          <w:kern w:val="0"/>
          <w:sz w:val="24"/>
          <w:szCs w:val="24"/>
          <w14:textFill>
            <w14:solidFill>
              <w14:schemeClr w14:val="tx1"/>
            </w14:solidFill>
          </w14:textFill>
        </w:rPr>
        <w:t>具有医疗器械注册证</w:t>
      </w:r>
      <w:r>
        <w:rPr>
          <w:rFonts w:hint="eastAsia" w:ascii="宋体" w:hAnsi="宋体" w:eastAsia="宋体" w:cs="宋体"/>
          <w:color w:val="000000" w:themeColor="text1"/>
          <w:kern w:val="0"/>
          <w:sz w:val="24"/>
          <w:szCs w:val="24"/>
          <w:lang w:eastAsia="zh-CN"/>
          <w14:textFill>
            <w14:solidFill>
              <w14:schemeClr w14:val="tx1"/>
            </w14:solidFill>
          </w14:textFill>
        </w:rPr>
        <w:t>；</w:t>
      </w:r>
    </w:p>
    <w:p w14:paraId="56CCCC97">
      <w:pPr>
        <w:keepNext w:val="0"/>
        <w:keepLines w:val="0"/>
        <w:pageBreakBefore w:val="0"/>
        <w:widowControl w:val="0"/>
        <w:shd w:val="clear"/>
        <w:kinsoku/>
        <w:wordWrap/>
        <w:overflowPunct/>
        <w:topLinePunct w:val="0"/>
        <w:autoSpaceDE/>
        <w:autoSpaceDN/>
        <w:bidi w:val="0"/>
        <w:adjustRightInd/>
        <w:spacing w:line="360" w:lineRule="auto"/>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二、售后服务</w:t>
      </w:r>
    </w:p>
    <w:p w14:paraId="4E3AC8D3">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（一）质保期：不低于一年。质保期从通过项目验收之日起计。软件（如有）终身免费升级。</w:t>
      </w:r>
    </w:p>
    <w:p w14:paraId="694EC4A5">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（二）交付、验收合格使用后，按合同提供质保期内的免费保修服务。</w:t>
      </w:r>
    </w:p>
    <w:p w14:paraId="4A3528D4">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（三）质保期内，设备若有故障，免费更换零配件；中选供应商接到采购人的报修通知后2小时内响应，48小时内进行维修，每次维修须派专业维修人员到现场。</w:t>
      </w:r>
    </w:p>
    <w:p w14:paraId="0585A9DB">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（四）如现场不能维修解决的故障问题，须提供故障不能排除时的解决方案。</w:t>
      </w:r>
    </w:p>
    <w:p w14:paraId="7721132C">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五）质保期满后，中选供应商须承诺提供终身维修服务，保证零配件供应，维修费用按照材料成本收取，免人工费。质保期满后，如设备故障，接到用户电话后技术人员须在2小时内电话沟通，48小时内到现场维修。</w:t>
      </w:r>
    </w:p>
    <w:p w14:paraId="1EBE5770">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（六）免费保修期满后，采购人亦有权自行选择维保单位。</w:t>
      </w:r>
    </w:p>
    <w:p w14:paraId="2BDFEBD9">
      <w:pPr>
        <w:keepNext w:val="0"/>
        <w:keepLines w:val="0"/>
        <w:pageBreakBefore w:val="0"/>
        <w:widowControl w:val="0"/>
        <w:numPr>
          <w:ilvl w:val="0"/>
          <w:numId w:val="0"/>
        </w:numPr>
        <w:shd w:val="clear"/>
        <w:kinsoku/>
        <w:wordWrap/>
        <w:overflowPunct/>
        <w:topLinePunct w:val="0"/>
        <w:autoSpaceDE/>
        <w:autoSpaceDN/>
        <w:bidi w:val="0"/>
        <w:adjustRightInd/>
        <w:spacing w:line="360" w:lineRule="auto"/>
        <w:jc w:val="left"/>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color w:val="auto"/>
          <w:sz w:val="24"/>
          <w:szCs w:val="24"/>
          <w:highlight w:val="none"/>
          <w:lang w:val="en-US" w:eastAsia="zh-CN"/>
        </w:rPr>
        <w:t>验收</w:t>
      </w:r>
    </w:p>
    <w:p w14:paraId="60DC3FDD">
      <w:pPr>
        <w:keepNext w:val="0"/>
        <w:keepLines w:val="0"/>
        <w:pageBreakBefore w:val="0"/>
        <w:widowControl w:val="0"/>
        <w:numPr>
          <w:ilvl w:val="0"/>
          <w:numId w:val="0"/>
        </w:numPr>
        <w:shd w:val="clear"/>
        <w:kinsoku/>
        <w:wordWrap/>
        <w:overflowPunct/>
        <w:topLinePunct w:val="0"/>
        <w:autoSpaceDE/>
        <w:autoSpaceDN/>
        <w:bidi w:val="0"/>
        <w:adjustRightInd/>
        <w:spacing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（一）验收要求</w:t>
      </w:r>
    </w:p>
    <w:p w14:paraId="0BA098D3">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1.供应商须提供产品设备的验收方案，该方案须符合国家相关行业标准和验收标准。</w:t>
      </w:r>
    </w:p>
    <w:p w14:paraId="7E9DD7FD">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2.货物到达采购人指定现场前，应提前1天通知采购人做好准备，由采购人会同有关单位和人员根据中标供应商提供的货物设备清单，进行现场验收；</w:t>
      </w:r>
    </w:p>
    <w:p w14:paraId="17764A19">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3.中选供应商在完成项目后，若经采购人验收不合格，中选供应商承担所有责任。</w:t>
      </w:r>
    </w:p>
    <w:p w14:paraId="4784D00F">
      <w:pPr>
        <w:keepNext w:val="0"/>
        <w:keepLines w:val="0"/>
        <w:pageBreakBefore w:val="0"/>
        <w:widowControl w:val="0"/>
        <w:numPr>
          <w:ilvl w:val="0"/>
          <w:numId w:val="0"/>
        </w:numPr>
        <w:shd w:val="clear"/>
        <w:kinsoku/>
        <w:wordWrap/>
        <w:overflowPunct/>
        <w:topLinePunct w:val="0"/>
        <w:autoSpaceDE/>
        <w:autoSpaceDN/>
        <w:bidi w:val="0"/>
        <w:adjustRightInd/>
        <w:spacing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（二）验收标准</w:t>
      </w:r>
    </w:p>
    <w:p w14:paraId="065351E6">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1.比选文件第三章“项目需求”中明确的标准和技术要求；</w:t>
      </w:r>
    </w:p>
    <w:p w14:paraId="567D8CDE">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2.与合同货物有关的最新版本的中华人民共和国国家/国际标准和部颁标准；</w:t>
      </w:r>
    </w:p>
    <w:p w14:paraId="0293DE0A">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3.中选供应商随比选响应文件提供货物制造国的制造及验收的官方标准或货物验收大纲，经采购方确认后，将作为对货物的验收依据之一；</w:t>
      </w:r>
    </w:p>
    <w:p w14:paraId="25B87F13">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4.中选供应商在澄清投标文件时作出的承诺，经采购方确认后，将作为对货物的验收依据之一；</w:t>
      </w:r>
    </w:p>
    <w:p w14:paraId="1C61A21B">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5.货物性能考核指标：不得低于上述货物验收标准中的指标。具体指标签订合同时根据比选文件和比选响应文件确定。</w:t>
      </w:r>
    </w:p>
    <w:p w14:paraId="3F0CCE58">
      <w:pPr>
        <w:keepNext w:val="0"/>
        <w:keepLines w:val="0"/>
        <w:pageBreakBefore w:val="0"/>
        <w:widowControl w:val="0"/>
        <w:numPr>
          <w:ilvl w:val="0"/>
          <w:numId w:val="0"/>
        </w:numPr>
        <w:shd w:val="clear"/>
        <w:kinsoku/>
        <w:wordWrap/>
        <w:overflowPunct/>
        <w:topLinePunct w:val="0"/>
        <w:autoSpaceDE/>
        <w:autoSpaceDN/>
        <w:bidi w:val="0"/>
        <w:adjustRightInd/>
        <w:spacing w:line="360" w:lineRule="auto"/>
        <w:jc w:val="left"/>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四、</w:t>
      </w:r>
      <w:r>
        <w:rPr>
          <w:rFonts w:hint="eastAsia" w:ascii="宋体" w:hAnsi="宋体" w:eastAsia="宋体" w:cs="宋体"/>
          <w:b/>
          <w:color w:val="auto"/>
          <w:sz w:val="24"/>
          <w:szCs w:val="24"/>
          <w:highlight w:val="none"/>
          <w:lang w:val="en-US" w:eastAsia="zh-CN"/>
        </w:rPr>
        <w:t>供货期</w:t>
      </w:r>
    </w:p>
    <w:p w14:paraId="74668BD3">
      <w:pPr>
        <w:keepNext w:val="0"/>
        <w:keepLines w:val="0"/>
        <w:pageBreakBefore w:val="0"/>
        <w:widowControl/>
        <w:shd w:val="clear"/>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在合同签订后15日内送达采购人指定地点。否则按照每天合同金额百分之一支付违约金。</w:t>
      </w:r>
    </w:p>
    <w:p w14:paraId="54489619">
      <w:pPr>
        <w:keepNext w:val="0"/>
        <w:keepLines w:val="0"/>
        <w:pageBreakBefore w:val="0"/>
        <w:widowControl w:val="0"/>
        <w:shd w:val="clear"/>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五、付款方式</w:t>
      </w:r>
    </w:p>
    <w:p w14:paraId="6C353DFF">
      <w:pPr>
        <w:keepNext w:val="0"/>
        <w:keepLines w:val="0"/>
        <w:pageBreakBefore w:val="0"/>
        <w:widowControl w:val="0"/>
        <w:shd w:val="clea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项</w:t>
      </w:r>
      <w:r>
        <w:rPr>
          <w:rFonts w:hint="eastAsia" w:ascii="宋体" w:hAnsi="宋体" w:eastAsia="宋体" w:cs="宋体"/>
          <w:bCs w:val="0"/>
          <w:color w:val="auto"/>
          <w:sz w:val="24"/>
          <w:szCs w:val="24"/>
          <w:highlight w:val="none"/>
          <w:lang w:val="en-US" w:eastAsia="zh-CN"/>
        </w:rPr>
        <w:t>目验收合格后支付合同总价的95%，余款验收合格满一年后支付。款项由采购单位按相关财务支付规定办理支付手续</w:t>
      </w:r>
      <w:r>
        <w:rPr>
          <w:rFonts w:hint="eastAsia" w:ascii="宋体" w:hAnsi="宋体" w:eastAsia="宋体" w:cs="宋体"/>
          <w:color w:val="auto"/>
          <w:sz w:val="24"/>
          <w:szCs w:val="24"/>
          <w:highlight w:val="none"/>
          <w:lang w:val="en-US" w:eastAsia="zh-CN"/>
        </w:rPr>
        <w:t>。</w:t>
      </w:r>
    </w:p>
    <w:p w14:paraId="4AB6B0AA">
      <w:pPr>
        <w:shd w:val="clear"/>
        <w:snapToGrid w:val="0"/>
        <w:spacing w:line="480" w:lineRule="exact"/>
        <w:jc w:val="both"/>
        <w:rPr>
          <w:rStyle w:val="43"/>
          <w:rFonts w:hint="eastAsia" w:ascii="宋体" w:hAnsi="宋体" w:eastAsia="宋体" w:cs="宋体"/>
          <w:b/>
          <w:color w:val="auto"/>
          <w:w w:val="80"/>
          <w:kern w:val="44"/>
          <w:sz w:val="36"/>
          <w:szCs w:val="36"/>
          <w:highlight w:val="none"/>
        </w:rPr>
      </w:pPr>
    </w:p>
    <w:p w14:paraId="4B10D2BC">
      <w:pPr>
        <w:shd w:val="clear"/>
        <w:snapToGrid w:val="0"/>
        <w:spacing w:line="480" w:lineRule="exact"/>
        <w:jc w:val="center"/>
        <w:rPr>
          <w:rStyle w:val="43"/>
          <w:rFonts w:hint="eastAsia" w:ascii="宋体" w:hAnsi="宋体" w:eastAsia="宋体" w:cs="宋体"/>
          <w:b/>
          <w:color w:val="auto"/>
          <w:w w:val="80"/>
          <w:kern w:val="44"/>
          <w:sz w:val="36"/>
          <w:szCs w:val="36"/>
          <w:highlight w:val="none"/>
        </w:rPr>
      </w:pPr>
    </w:p>
    <w:p w14:paraId="2E22261B">
      <w:pPr>
        <w:shd w:val="clear"/>
        <w:snapToGrid w:val="0"/>
        <w:spacing w:line="480" w:lineRule="exact"/>
        <w:jc w:val="center"/>
        <w:rPr>
          <w:rStyle w:val="43"/>
          <w:rFonts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br w:type="page"/>
      </w:r>
      <w:r>
        <w:rPr>
          <w:rStyle w:val="43"/>
          <w:rFonts w:hint="eastAsia" w:ascii="宋体" w:hAnsi="宋体" w:eastAsia="宋体" w:cs="宋体"/>
          <w:b/>
          <w:color w:val="auto"/>
          <w:w w:val="80"/>
          <w:kern w:val="44"/>
          <w:sz w:val="36"/>
          <w:szCs w:val="36"/>
          <w:highlight w:val="none"/>
        </w:rPr>
        <w:t>第四章  评审方法和程序</w:t>
      </w:r>
    </w:p>
    <w:p w14:paraId="2FED9D7A">
      <w:pPr>
        <w:shd w:val="clear"/>
        <w:snapToGrid w:val="0"/>
        <w:ind w:firstLine="487" w:firstLineChars="202"/>
        <w:rPr>
          <w:rStyle w:val="43"/>
          <w:rFonts w:ascii="宋体" w:hAnsi="宋体" w:eastAsia="宋体" w:cs="宋体"/>
          <w:b/>
          <w:color w:val="auto"/>
          <w:sz w:val="24"/>
          <w:szCs w:val="24"/>
          <w:highlight w:val="none"/>
        </w:rPr>
      </w:pPr>
    </w:p>
    <w:p w14:paraId="5AC45D15">
      <w:pPr>
        <w:shd w:val="clear"/>
        <w:snapToGrid w:val="0"/>
        <w:ind w:firstLine="487" w:firstLineChars="202"/>
        <w:rPr>
          <w:rStyle w:val="43"/>
          <w:rFonts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一、采购人组织开标</w:t>
      </w:r>
    </w:p>
    <w:p w14:paraId="1FC1D2A5">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1.成立比选小组，由采购人代表和有关专家依法组成。</w:t>
      </w:r>
    </w:p>
    <w:p w14:paraId="76B371BA">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2.供应商的法定代表人或被授权人须持身份证准时参加比选会。</w:t>
      </w:r>
    </w:p>
    <w:p w14:paraId="38E066AA">
      <w:pPr>
        <w:shd w:val="clear"/>
        <w:snapToGrid w:val="0"/>
        <w:ind w:firstLine="487" w:firstLineChars="202"/>
        <w:rPr>
          <w:rStyle w:val="43"/>
          <w:rFonts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二、开标</w:t>
      </w:r>
    </w:p>
    <w:p w14:paraId="2DEF2FD6">
      <w:pPr>
        <w:shd w:val="clear"/>
        <w:snapToGrid w:val="0"/>
        <w:ind w:firstLine="484" w:firstLineChars="202"/>
        <w:jc w:val="left"/>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w:t>
      </w:r>
      <w:r>
        <w:rPr>
          <w:rStyle w:val="43"/>
          <w:rFonts w:hint="eastAsia" w:ascii="宋体" w:hAnsi="宋体" w:eastAsia="宋体" w:cs="宋体"/>
          <w:color w:val="auto"/>
          <w:sz w:val="24"/>
          <w:szCs w:val="24"/>
          <w:highlight w:val="none"/>
          <w:lang w:val="en-US" w:eastAsia="zh-CN"/>
        </w:rPr>
        <w:t>采购人</w:t>
      </w:r>
      <w:r>
        <w:rPr>
          <w:rStyle w:val="43"/>
          <w:rFonts w:hint="eastAsia" w:ascii="宋体" w:hAnsi="宋体" w:eastAsia="宋体" w:cs="宋体"/>
          <w:color w:val="auto"/>
          <w:sz w:val="24"/>
          <w:szCs w:val="24"/>
          <w:highlight w:val="none"/>
        </w:rPr>
        <w:t>主持开标并记录，及时处理供应商代表提出的询问或者回避申请。</w:t>
      </w:r>
    </w:p>
    <w:p w14:paraId="17767086">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2.供应商不足3家的不得开标，相应处理方式见本比选文件第四章第十一条的规定。</w:t>
      </w:r>
    </w:p>
    <w:p w14:paraId="542D4A23">
      <w:pPr>
        <w:shd w:val="clear"/>
        <w:snapToGrid w:val="0"/>
        <w:ind w:firstLine="487" w:firstLineChars="202"/>
        <w:rPr>
          <w:rStyle w:val="43"/>
          <w:rFonts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三、资格审查</w:t>
      </w:r>
    </w:p>
    <w:p w14:paraId="1AEFB44A">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1.开标后，根据比选文件载明的资格审查要求，对供应商的资格进行审查。</w:t>
      </w:r>
    </w:p>
    <w:p w14:paraId="106E3412">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2.资格审查合格的供应商进入评标。</w:t>
      </w:r>
    </w:p>
    <w:p w14:paraId="070F19AF">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3.合格供应商不足3家的，不得评标，相应处理方式见本比选文件第四章第十一条的规定。</w:t>
      </w:r>
    </w:p>
    <w:p w14:paraId="07C4CDD4">
      <w:pPr>
        <w:shd w:val="clear"/>
        <w:snapToGrid w:val="0"/>
        <w:ind w:firstLine="487" w:firstLineChars="202"/>
        <w:rPr>
          <w:rStyle w:val="43"/>
          <w:rFonts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四、评标</w:t>
      </w:r>
    </w:p>
    <w:p w14:paraId="3D132D04">
      <w:pPr>
        <w:shd w:val="clear"/>
        <w:snapToGrid w:val="0"/>
        <w:ind w:firstLine="484" w:firstLineChars="202"/>
        <w:rPr>
          <w:rStyle w:val="43"/>
          <w:rFonts w:ascii="宋体" w:hAnsi="宋体" w:eastAsia="宋体" w:cs="宋体"/>
          <w:b/>
          <w:color w:val="auto"/>
          <w:sz w:val="24"/>
          <w:szCs w:val="24"/>
          <w:highlight w:val="none"/>
        </w:rPr>
      </w:pPr>
      <w:r>
        <w:rPr>
          <w:rStyle w:val="43"/>
          <w:rFonts w:hint="eastAsia" w:ascii="宋体" w:hAnsi="宋体" w:eastAsia="宋体" w:cs="宋体"/>
          <w:color w:val="auto"/>
          <w:sz w:val="24"/>
          <w:szCs w:val="24"/>
          <w:highlight w:val="none"/>
        </w:rPr>
        <w:t>1.评标时间：</w:t>
      </w:r>
      <w:r>
        <w:rPr>
          <w:rStyle w:val="43"/>
          <w:rFonts w:hint="eastAsia" w:ascii="宋体" w:hAnsi="宋体" w:eastAsia="宋体" w:cs="宋体"/>
          <w:b/>
          <w:color w:val="auto"/>
          <w:sz w:val="24"/>
          <w:szCs w:val="24"/>
          <w:highlight w:val="none"/>
        </w:rPr>
        <w:t>资格审查结束以后。</w:t>
      </w:r>
    </w:p>
    <w:p w14:paraId="1DF93FA5">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w:t>
      </w:r>
      <w:r>
        <w:rPr>
          <w:rStyle w:val="43"/>
          <w:rFonts w:hint="eastAsia" w:ascii="宋体" w:hAnsi="宋体" w:eastAsia="宋体" w:cs="宋体"/>
          <w:color w:val="auto"/>
          <w:sz w:val="24"/>
          <w:szCs w:val="24"/>
          <w:highlight w:val="none"/>
          <w:lang w:val="en-US" w:eastAsia="zh-CN"/>
        </w:rPr>
        <w:t>采购人</w:t>
      </w:r>
      <w:r>
        <w:rPr>
          <w:rStyle w:val="43"/>
          <w:rFonts w:hint="eastAsia" w:ascii="宋体" w:hAnsi="宋体" w:eastAsia="宋体" w:cs="宋体"/>
          <w:color w:val="auto"/>
          <w:sz w:val="24"/>
          <w:szCs w:val="24"/>
          <w:highlight w:val="none"/>
        </w:rPr>
        <w:t>负责组织评标工作，并履行下列职责：</w:t>
      </w:r>
    </w:p>
    <w:p w14:paraId="0E39E0D7">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（1）核对评审专家身份和采购人代表授权函，对评审专家在采购活动中的职责履行情况予以记录，并及时将有关违法违规行为向相关部门报告。</w:t>
      </w:r>
    </w:p>
    <w:p w14:paraId="0277E6FD">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（2）宣布评标纪律。</w:t>
      </w:r>
    </w:p>
    <w:p w14:paraId="70743A83">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（3）公布供应商名单，告知评审专家应当回避的情形。</w:t>
      </w:r>
    </w:p>
    <w:p w14:paraId="27BFDF27">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（4）组织比选小组推选评标组长，采购人代表不得担任组长。</w:t>
      </w:r>
    </w:p>
    <w:p w14:paraId="518B6A71">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（5）在评标期间采取必要的通讯管理措施，保证评标活动不受外界干扰；除采购人代表、评标现场组织人员外，采购人的其他工作人员以及与评标工作无关的人员不得进入评标现场。</w:t>
      </w:r>
    </w:p>
    <w:p w14:paraId="5A9E904D">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（6）根据比选小组的要求介绍相关政策法规、比选文件。</w:t>
      </w:r>
    </w:p>
    <w:p w14:paraId="0EE4EC19">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7）维护评标秩序，监督比选小组依照比选文件规定的评标程序、方法和标准进行独立评审，及时制止和纠正采购人代表、评审专家的倾向性言论或者违法违规行为；采购人可以在评标前说明项目背景和采购需求，说明内容不得含有歧视性、倾向性意见，不得超出比选文件所述范围。说明应当提交书面材料，并随采购文件一并存档。</w:t>
      </w:r>
    </w:p>
    <w:p w14:paraId="27996EED">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（8）核对评标结果，有下列规定情形的，要求比选小组复核或者书面说明理由，比选小组拒绝的，则予以书面记录并向相关部门报告：</w:t>
      </w:r>
    </w:p>
    <w:p w14:paraId="7B7D781F">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① 分值汇总计算错误的；</w:t>
      </w:r>
    </w:p>
    <w:p w14:paraId="273548A2">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② 分项评分超出评分标准范围的；</w:t>
      </w:r>
    </w:p>
    <w:p w14:paraId="78E6A4A0">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③ 比选小组成员对客观评审因素评分不一致的；</w:t>
      </w:r>
    </w:p>
    <w:p w14:paraId="60D8F0B0">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④ 经比选小组认定评分畸高、畸低的。</w:t>
      </w:r>
    </w:p>
    <w:p w14:paraId="79E0EDF4">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（9）评审工作完成后，按照规定向评审专家支付劳务报酬和异地评审差旅费，不得向评审专家以外的其他人员支付评审劳务报酬；</w:t>
      </w:r>
    </w:p>
    <w:p w14:paraId="76A88B66">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（10）处理与评标有关的其他事项。</w:t>
      </w:r>
    </w:p>
    <w:p w14:paraId="68F63BDF">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4.比选小组负责具体评标事务：</w:t>
      </w:r>
    </w:p>
    <w:p w14:paraId="34DBAEDD">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独立履行审查、评价合格供应商的响应文件是否符合比选文件的商务、技术等实质性要求并进行比较和评价；按照比选文件中规定的评标方法和标准，对符合性审查合格的响应文件进行商务和技术评估，综合比较与评价并依据比选文件载明的评标方法直接确定中选供应商。</w:t>
      </w:r>
    </w:p>
    <w:p w14:paraId="6EA0D9D4">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对于响应文件中含义不明确、同类问题表述不一致或者有明显文字和计算错误的内容，比选小组应当以书面形式要求供应商作出必要的澄清、说明或者补正。供应商的澄清、说明或者补正，应当采用书面形式由供应商代表签字，但不得超出比选文件的范围或者改变其实质性内容。</w:t>
      </w:r>
    </w:p>
    <w:p w14:paraId="26F424A0">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比选小组发现比选文件存在歧义、重大缺陷导致评标工作无法进行，或者比选文件内容违反国家有关强制性规定的，应当停止评标工作，与采购人沟通并作书面记录。采购人确认后，应当修改比选文件，重新组织采购活动。</w:t>
      </w:r>
    </w:p>
    <w:p w14:paraId="4465CA67">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5.比选小组成员独立履行以下职责与义务：</w:t>
      </w:r>
    </w:p>
    <w:p w14:paraId="62E8E021">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（1）遵纪守法，客观、公正、廉洁地履行职责；</w:t>
      </w:r>
    </w:p>
    <w:p w14:paraId="0FE0192C">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（2）审查合格供应商的响应文件是否实质性响应比选文件要求，并做出评价；</w:t>
      </w:r>
    </w:p>
    <w:p w14:paraId="4E96D87E">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（3）按照比选文件规定的评标办法和评标标准进行评标，对评审意见承担个人责任；</w:t>
      </w:r>
    </w:p>
    <w:p w14:paraId="558D0D81">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（4）可以要求供应商对响应文件有关事项做出解释或澄清；</w:t>
      </w:r>
    </w:p>
    <w:p w14:paraId="2BB7772A">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（5）对评标过程和结果，以及供应商的商业秘密保密；</w:t>
      </w:r>
    </w:p>
    <w:p w14:paraId="667019AB">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（6）配合相关部门的投诉处理工作；</w:t>
      </w:r>
    </w:p>
    <w:p w14:paraId="5450ADB7">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（7）配合采购人答复供应商提出的质疑。</w:t>
      </w:r>
    </w:p>
    <w:p w14:paraId="6D99D80F">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6.除采购人代表、评标现场组织人员外，采购人的其他工作人员以及与评标工作无关的人员不得进入评标现场；有关人员对评标情况以及在评标过程中获悉的国家秘密、商业秘密负有保密责任。</w:t>
      </w:r>
    </w:p>
    <w:p w14:paraId="768E1DC9">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7.开标后直到通告项目中选结果发出中选通知书并授予中选供应商合同为止，凡属于评审、澄清、评价和比选响应的所有资料及有关授予合同等的相关信息，都不应向供应商或与评标无关的其他人泄露。</w:t>
      </w:r>
    </w:p>
    <w:p w14:paraId="55446C88">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8.评审期间，合格供应商的响应文件仍有可能被比选小组根据规定判为无效响应。</w:t>
      </w:r>
    </w:p>
    <w:p w14:paraId="7CB655B6">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9.在响应文件的评审、澄清、评价和比较以及授予合同的过程中，供应商对采购人和比选小组成员有施加影响的任何行为，都将取消其可能的中选资格。</w:t>
      </w:r>
    </w:p>
    <w:p w14:paraId="168A669A">
      <w:pPr>
        <w:shd w:val="clear"/>
        <w:snapToGrid w:val="0"/>
        <w:ind w:firstLine="487" w:firstLineChars="202"/>
        <w:rPr>
          <w:rStyle w:val="43"/>
          <w:rFonts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五、评审原则</w:t>
      </w:r>
    </w:p>
    <w:p w14:paraId="7CFAF5EF">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1.本项目采用</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b/>
          <w:color w:val="auto"/>
          <w:sz w:val="24"/>
          <w:szCs w:val="24"/>
          <w:highlight w:val="none"/>
          <w:u w:val="single" w:color="000000"/>
        </w:rPr>
        <w:t>综合评分法</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color w:val="auto"/>
          <w:sz w:val="24"/>
          <w:szCs w:val="24"/>
          <w:highlight w:val="none"/>
        </w:rPr>
        <w:t>，即指响应文件满足本项目比选文件全部实质性要求，且按照评审因素的量化指标，经评审后得分最高的供应商推荐为中选供应商的评标方法。</w:t>
      </w:r>
    </w:p>
    <w:p w14:paraId="72930C02">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比选小组成员：对符合资格的供应商的响应文件进行符合性审查，以确定其是否满足比选文件的实质性要求；按照比选文件中规定的评标方法和标准，对符合性审查合格的响应文件进行商务和技术评估，综合比较与评价。</w:t>
      </w:r>
    </w:p>
    <w:p w14:paraId="2B34F0DA">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3.比选小组严格按照比选文件规定的要求、条件、评分标准，对供应商所提供的完整计划标的物的科学性、可行性、产品质量、服务质量的保证及承诺等实质性响应内容进行比较评价。</w:t>
      </w:r>
    </w:p>
    <w:p w14:paraId="7CB45234">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4.对响应文件的评审判定，只依据响应文件内容本身，不依靠开标后任何外来证明文件。</w:t>
      </w:r>
    </w:p>
    <w:p w14:paraId="0F5CBBE5">
      <w:pPr>
        <w:shd w:val="clear"/>
        <w:snapToGrid w:val="0"/>
        <w:ind w:firstLine="487" w:firstLineChars="202"/>
        <w:rPr>
          <w:rStyle w:val="43"/>
          <w:rFonts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六、评审方法</w:t>
      </w:r>
    </w:p>
    <w:p w14:paraId="3B85A77F">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1.评标程序：</w:t>
      </w:r>
    </w:p>
    <w:p w14:paraId="66CE90E7">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资格符合性评审——商务技术响应文件评审——报价响应文件评审——确定候选人。</w:t>
      </w:r>
    </w:p>
    <w:p w14:paraId="7060D0CB">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本次资格审查采用资格后审，各供应商资格审查通过后方能进入商务技术响应文件的开标。先开商务技术响应文件，商务技术响应文件打分结束后再开报价响应文件。</w:t>
      </w:r>
    </w:p>
    <w:p w14:paraId="32510DFE">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2.比选小组将仅对按本比选文件载明的方法与规定，为实质上响应比选文件要求的响应文件评审并进行评价和比较。</w:t>
      </w:r>
    </w:p>
    <w:p w14:paraId="1F570E18">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3.本次项目的商务技术和报价评审总分值为100分。两部分评审因素比重如下：</w:t>
      </w:r>
    </w:p>
    <w:p w14:paraId="5920E980">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商务技术分值占总分值的比重为</w:t>
      </w:r>
      <w:r>
        <w:rPr>
          <w:rStyle w:val="43"/>
          <w:rFonts w:hint="eastAsia" w:ascii="宋体" w:hAnsi="宋体" w:eastAsia="宋体" w:cs="宋体"/>
          <w:color w:val="auto"/>
          <w:sz w:val="24"/>
          <w:szCs w:val="24"/>
          <w:highlight w:val="none"/>
          <w:u w:val="single" w:color="000000"/>
        </w:rPr>
        <w:t>70%（权重）</w:t>
      </w:r>
      <w:r>
        <w:rPr>
          <w:rStyle w:val="43"/>
          <w:rFonts w:hint="eastAsia" w:ascii="宋体" w:hAnsi="宋体" w:eastAsia="宋体" w:cs="宋体"/>
          <w:color w:val="auto"/>
          <w:sz w:val="24"/>
          <w:szCs w:val="24"/>
          <w:highlight w:val="none"/>
        </w:rPr>
        <w:t>（计算结果均四舍五入保留两位小数）；</w:t>
      </w:r>
    </w:p>
    <w:p w14:paraId="420297A2">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报价分值占总分值的比重为</w:t>
      </w:r>
      <w:r>
        <w:rPr>
          <w:rStyle w:val="43"/>
          <w:rFonts w:hint="eastAsia" w:ascii="宋体" w:hAnsi="宋体" w:eastAsia="宋体" w:cs="宋体"/>
          <w:color w:val="auto"/>
          <w:sz w:val="24"/>
          <w:szCs w:val="24"/>
          <w:highlight w:val="none"/>
          <w:u w:val="single" w:color="000000"/>
        </w:rPr>
        <w:t>30%（权重）</w:t>
      </w:r>
      <w:r>
        <w:rPr>
          <w:rStyle w:val="43"/>
          <w:rFonts w:hint="eastAsia" w:ascii="宋体" w:hAnsi="宋体" w:eastAsia="宋体" w:cs="宋体"/>
          <w:color w:val="auto"/>
          <w:sz w:val="24"/>
          <w:szCs w:val="24"/>
          <w:highlight w:val="none"/>
        </w:rPr>
        <w:t>（计算结果均四舍五入保留两位小数）；</w:t>
      </w:r>
    </w:p>
    <w:p w14:paraId="69C6E873">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4.比选小组严格按照比选文件的要求、条件、评分标准，对供应商所提供货物或服务的先进性、可靠性、售后服务承诺、质量保证承诺等实质性响应内容进行比较。</w:t>
      </w:r>
    </w:p>
    <w:p w14:paraId="63DC133F">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5.比选小组构成共3人，比选小组各成员独立对每个进入打分程序的有效供应商的响应文件的商务技术部分以打分的形式进行评审和评价。</w:t>
      </w:r>
    </w:p>
    <w:p w14:paraId="65C0A6EA">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6.商务技术分按算术平均值计算（计算结果均四舍五入保留两位小数）。</w:t>
      </w:r>
    </w:p>
    <w:p w14:paraId="50F4C3FB">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7.开启供应商的报价响应文件，现场唱标后由供应商代表签名确认。</w:t>
      </w:r>
    </w:p>
    <w:p w14:paraId="1152598D">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8.供应商的报价响应文件评审得分直接计算取得，并与其商务技术得分相加为该供应商的综合得分（计算结果均四舍五入保留两位小数）。</w:t>
      </w:r>
    </w:p>
    <w:p w14:paraId="402C26D0">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9.评审后的综合得分相同的，按商务技术得分由高到低顺序排列。综合得分且商务技术得分相同的，则采取现场抽签的方式确定（供应商的抽签顺序分别为各供应商递交响应文件签到顺序号）</w:t>
      </w:r>
    </w:p>
    <w:p w14:paraId="15DDCFCA">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10.评标结果按响应文件满足比选文件全部实质性要求，且按照评审因素的量化指标评审综合得分最高的供应商，排名第一的确定为第一成交候选人，出具评审报告并将结果通知所有供应商。</w:t>
      </w:r>
    </w:p>
    <w:p w14:paraId="56238572">
      <w:pPr>
        <w:shd w:val="clear"/>
        <w:snapToGrid w:val="0"/>
        <w:ind w:firstLine="487" w:firstLineChars="202"/>
        <w:rPr>
          <w:rStyle w:val="43"/>
          <w:rFonts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七、关于价格评审</w:t>
      </w:r>
    </w:p>
    <w:p w14:paraId="79A40CDC">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1.针对价格实质响应的评审</w:t>
      </w:r>
    </w:p>
    <w:p w14:paraId="1C7C6F11">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比选小组将审查每份响应文件的报价是否实质上响应了比选文件的要求。实质上响应应该与比选文件要求的全部条款、条件和规格相符，没有重大偏离或保留。所谓重大偏离或保留是指实质上影响合同的供货范围、质量和性能，或者实质上与比选文件的要求不一致。纠正这些偏离或保留将会对其他实质上响应要求的供应商的竞争地位产生不公正的影响。如未实质上响应 ，则按无效响应处理。</w:t>
      </w:r>
    </w:p>
    <w:p w14:paraId="34F33BC3">
      <w:pPr>
        <w:shd w:val="clea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w:t>
      </w:r>
      <w:r>
        <w:rPr>
          <w:rStyle w:val="43"/>
          <w:rFonts w:hint="eastAsia" w:ascii="宋体" w:hAnsi="宋体" w:eastAsia="宋体" w:cs="宋体"/>
          <w:color w:val="auto"/>
          <w:sz w:val="24"/>
          <w:szCs w:val="24"/>
          <w:highlight w:val="none"/>
          <w:lang w:val="en-US" w:eastAsia="zh-CN"/>
        </w:rPr>
        <w:t>评审过程中出现下列情形之一的，</w:t>
      </w:r>
      <w:r>
        <w:rPr>
          <w:rStyle w:val="43"/>
          <w:rFonts w:hint="eastAsia" w:ascii="宋体" w:hAnsi="宋体" w:eastAsia="宋体" w:cs="宋体"/>
          <w:color w:val="auto"/>
          <w:sz w:val="24"/>
          <w:szCs w:val="24"/>
          <w:highlight w:val="none"/>
        </w:rPr>
        <w:t>比选</w:t>
      </w:r>
      <w:r>
        <w:rPr>
          <w:rStyle w:val="43"/>
          <w:rFonts w:hint="eastAsia" w:ascii="宋体" w:hAnsi="宋体" w:eastAsia="宋体" w:cs="宋体"/>
          <w:color w:val="auto"/>
          <w:sz w:val="24"/>
          <w:szCs w:val="24"/>
          <w:highlight w:val="none"/>
          <w:lang w:val="en-US" w:eastAsia="zh-CN"/>
        </w:rPr>
        <w:t>小组应当启动异常低价响应审查程序：</w:t>
      </w:r>
    </w:p>
    <w:p w14:paraId="2A5D755C">
      <w:pPr>
        <w:shd w:val="clear"/>
        <w:snapToGrid w:val="0"/>
        <w:ind w:firstLine="484" w:firstLineChars="202"/>
        <w:rPr>
          <w:rStyle w:val="43"/>
          <w:rFonts w:hint="eastAsia" w:ascii="宋体" w:hAnsi="宋体" w:eastAsia="宋体" w:cs="宋体"/>
          <w:color w:val="auto"/>
          <w:sz w:val="24"/>
          <w:szCs w:val="24"/>
          <w:highlight w:val="none"/>
          <w:lang w:val="en-US" w:eastAsia="zh-CN"/>
        </w:rPr>
      </w:pPr>
      <w:r>
        <w:rPr>
          <w:rStyle w:val="43"/>
          <w:rFonts w:hint="eastAsia" w:ascii="宋体" w:hAnsi="宋体" w:eastAsia="宋体" w:cs="宋体"/>
          <w:color w:val="auto"/>
          <w:sz w:val="24"/>
          <w:szCs w:val="24"/>
          <w:highlight w:val="none"/>
          <w:lang w:eastAsia="zh-CN"/>
        </w:rPr>
        <w:t>（</w:t>
      </w:r>
      <w:r>
        <w:rPr>
          <w:rStyle w:val="43"/>
          <w:rFonts w:hint="eastAsia" w:ascii="宋体" w:hAnsi="宋体" w:eastAsia="宋体" w:cs="宋体"/>
          <w:color w:val="auto"/>
          <w:sz w:val="24"/>
          <w:szCs w:val="24"/>
          <w:highlight w:val="none"/>
          <w:lang w:val="en-US" w:eastAsia="zh-CN"/>
        </w:rPr>
        <w:t>1</w:t>
      </w:r>
      <w:r>
        <w:rPr>
          <w:rStyle w:val="43"/>
          <w:rFonts w:hint="eastAsia" w:ascii="宋体" w:hAnsi="宋体" w:eastAsia="宋体" w:cs="宋体"/>
          <w:color w:val="auto"/>
          <w:sz w:val="24"/>
          <w:szCs w:val="24"/>
          <w:highlight w:val="none"/>
          <w:lang w:eastAsia="zh-CN"/>
        </w:rPr>
        <w:t>）</w:t>
      </w:r>
      <w:r>
        <w:rPr>
          <w:rStyle w:val="43"/>
          <w:rFonts w:hint="eastAsia" w:ascii="宋体" w:hAnsi="宋体" w:eastAsia="宋体" w:cs="宋体"/>
          <w:color w:val="auto"/>
          <w:sz w:val="24"/>
          <w:szCs w:val="24"/>
          <w:highlight w:val="none"/>
          <w:lang w:val="en-US" w:eastAsia="zh-CN"/>
        </w:rPr>
        <w:t>报价低于采购项目预算50%的，即报价＜采购项目预算*50%；</w:t>
      </w:r>
    </w:p>
    <w:p w14:paraId="3281466D">
      <w:pPr>
        <w:shd w:val="clear"/>
        <w:snapToGrid w:val="0"/>
        <w:ind w:firstLine="484" w:firstLineChars="202"/>
        <w:rPr>
          <w:rStyle w:val="43"/>
          <w:rFonts w:hint="eastAsia" w:ascii="宋体" w:hAnsi="宋体" w:eastAsia="宋体" w:cs="宋体"/>
          <w:color w:val="auto"/>
          <w:sz w:val="24"/>
          <w:szCs w:val="24"/>
          <w:highlight w:val="none"/>
          <w:lang w:val="en-US" w:eastAsia="zh-CN"/>
        </w:rPr>
      </w:pPr>
      <w:r>
        <w:rPr>
          <w:rStyle w:val="43"/>
          <w:rFonts w:hint="eastAsia" w:ascii="宋体" w:hAnsi="宋体" w:eastAsia="宋体" w:cs="宋体"/>
          <w:color w:val="auto"/>
          <w:sz w:val="24"/>
          <w:szCs w:val="24"/>
          <w:highlight w:val="none"/>
          <w:lang w:val="en-US" w:eastAsia="zh-CN"/>
        </w:rPr>
        <w:t>（2）报价低于采购项目最高限价45%的，即报价＜采购项目最高限价*45%；</w:t>
      </w:r>
    </w:p>
    <w:p w14:paraId="0F4C99E2">
      <w:pPr>
        <w:shd w:val="clear"/>
        <w:snapToGrid w:val="0"/>
        <w:ind w:firstLine="484" w:firstLineChars="202"/>
        <w:rPr>
          <w:rStyle w:val="43"/>
          <w:rFonts w:hint="default" w:ascii="宋体" w:hAnsi="宋体" w:eastAsia="宋体" w:cs="宋体"/>
          <w:color w:val="auto"/>
          <w:sz w:val="24"/>
          <w:szCs w:val="24"/>
          <w:highlight w:val="none"/>
          <w:lang w:val="en-US" w:eastAsia="zh-CN"/>
        </w:rPr>
      </w:pPr>
      <w:r>
        <w:rPr>
          <w:rStyle w:val="43"/>
          <w:rFonts w:hint="eastAsia" w:ascii="宋体" w:hAnsi="宋体" w:eastAsia="宋体" w:cs="宋体"/>
          <w:color w:val="auto"/>
          <w:sz w:val="24"/>
          <w:szCs w:val="24"/>
          <w:highlight w:val="none"/>
          <w:lang w:val="en-US" w:eastAsia="zh-CN"/>
        </w:rPr>
        <w:t>（3）</w:t>
      </w:r>
      <w:r>
        <w:rPr>
          <w:rStyle w:val="43"/>
          <w:rFonts w:hint="eastAsia" w:ascii="宋体" w:hAnsi="宋体" w:eastAsia="宋体" w:cs="宋体"/>
          <w:color w:val="auto"/>
          <w:sz w:val="24"/>
          <w:szCs w:val="24"/>
          <w:highlight w:val="none"/>
        </w:rPr>
        <w:t>比选</w:t>
      </w:r>
      <w:r>
        <w:rPr>
          <w:rStyle w:val="43"/>
          <w:rFonts w:hint="eastAsia" w:ascii="宋体" w:hAnsi="宋体" w:eastAsia="宋体" w:cs="宋体"/>
          <w:color w:val="auto"/>
          <w:sz w:val="24"/>
          <w:szCs w:val="24"/>
          <w:highlight w:val="none"/>
          <w:lang w:val="en-US" w:eastAsia="zh-CN"/>
        </w:rPr>
        <w:t>小组认定的供应商报价过低、有可能影响产品质量或者不能诚信履约的其他情形。</w:t>
      </w:r>
    </w:p>
    <w:p w14:paraId="117FD8F6">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3.启动异常低价响应审查后，</w:t>
      </w:r>
      <w:r>
        <w:rPr>
          <w:rStyle w:val="43"/>
          <w:rFonts w:hint="eastAsia" w:ascii="宋体" w:hAnsi="宋体" w:eastAsia="宋体" w:cs="宋体"/>
          <w:color w:val="auto"/>
          <w:sz w:val="24"/>
          <w:szCs w:val="24"/>
          <w:highlight w:val="none"/>
        </w:rPr>
        <w:t>比选</w:t>
      </w:r>
      <w:r>
        <w:rPr>
          <w:rStyle w:val="43"/>
          <w:rFonts w:hint="eastAsia" w:ascii="宋体" w:hAnsi="宋体" w:eastAsia="宋体" w:cs="宋体"/>
          <w:color w:val="auto"/>
          <w:sz w:val="24"/>
          <w:szCs w:val="24"/>
          <w:highlight w:val="none"/>
          <w:lang w:val="en-US" w:eastAsia="zh-CN"/>
        </w:rPr>
        <w:t>小组应当要求相关供应商在评标现场合理的时间内，提供项目具体成本测算等与报价合理性相关的书面说明及相关证明材料，对响应价格做出解释，由</w:t>
      </w:r>
      <w:r>
        <w:rPr>
          <w:rStyle w:val="43"/>
          <w:rFonts w:hint="eastAsia" w:ascii="宋体" w:hAnsi="宋体" w:eastAsia="宋体" w:cs="宋体"/>
          <w:color w:val="auto"/>
          <w:sz w:val="24"/>
          <w:szCs w:val="24"/>
          <w:highlight w:val="none"/>
        </w:rPr>
        <w:t>比选</w:t>
      </w:r>
      <w:r>
        <w:rPr>
          <w:rStyle w:val="43"/>
          <w:rFonts w:hint="eastAsia" w:ascii="宋体" w:hAnsi="宋体" w:eastAsia="宋体" w:cs="宋体"/>
          <w:color w:val="auto"/>
          <w:sz w:val="24"/>
          <w:szCs w:val="24"/>
          <w:highlight w:val="none"/>
          <w:lang w:val="en-US" w:eastAsia="zh-CN"/>
        </w:rPr>
        <w:t>小组结合同类产品在主要电商平台的价格、该行业当地薪资水平等情况，依据专业经验对供应商报价合理性进行判断。响应供应商不提供书面说明、证明材料，或者提供的书面说明、证明材料不能证明其报价合理性的，</w:t>
      </w:r>
      <w:r>
        <w:rPr>
          <w:rStyle w:val="43"/>
          <w:rFonts w:hint="eastAsia" w:ascii="宋体" w:hAnsi="宋体" w:eastAsia="宋体" w:cs="宋体"/>
          <w:color w:val="auto"/>
          <w:sz w:val="24"/>
          <w:szCs w:val="24"/>
          <w:highlight w:val="none"/>
        </w:rPr>
        <w:t>比选</w:t>
      </w:r>
      <w:r>
        <w:rPr>
          <w:rStyle w:val="43"/>
          <w:rFonts w:hint="eastAsia" w:ascii="宋体" w:hAnsi="宋体" w:eastAsia="宋体" w:cs="宋体"/>
          <w:color w:val="auto"/>
          <w:sz w:val="24"/>
          <w:szCs w:val="24"/>
          <w:highlight w:val="none"/>
          <w:lang w:val="en-US" w:eastAsia="zh-CN"/>
        </w:rPr>
        <w:t>小组应当将其作为无效响应处理。审查情况应当在评审报告中进行记录。</w:t>
      </w:r>
      <w:r>
        <w:rPr>
          <w:rStyle w:val="43"/>
          <w:rFonts w:hint="eastAsia" w:ascii="宋体" w:hAnsi="宋体" w:eastAsia="宋体" w:cs="宋体"/>
          <w:b/>
          <w:bCs/>
          <w:color w:val="auto"/>
          <w:sz w:val="24"/>
          <w:szCs w:val="24"/>
          <w:highlight w:val="none"/>
        </w:rPr>
        <w:t xml:space="preserve"> </w:t>
      </w:r>
    </w:p>
    <w:p w14:paraId="6EA1E1E3">
      <w:pPr>
        <w:shd w:val="clear"/>
        <w:snapToGrid w:val="0"/>
        <w:ind w:firstLine="487" w:firstLineChars="202"/>
        <w:rPr>
          <w:rStyle w:val="43"/>
          <w:rFonts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八、评审评分项</w:t>
      </w:r>
    </w:p>
    <w:p w14:paraId="494EB883">
      <w:pPr>
        <w:shd w:val="clear"/>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（一）商务技术分：（70分）</w:t>
      </w:r>
    </w:p>
    <w:tbl>
      <w:tblPr>
        <w:tblStyle w:val="24"/>
        <w:tblW w:w="99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54"/>
        <w:gridCol w:w="8500"/>
      </w:tblGrid>
      <w:tr w14:paraId="58C63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454" w:type="dxa"/>
            <w:tcMar>
              <w:top w:w="15" w:type="dxa"/>
              <w:left w:w="15" w:type="dxa"/>
              <w:right w:w="15" w:type="dxa"/>
            </w:tcMar>
            <w:vAlign w:val="center"/>
          </w:tcPr>
          <w:p w14:paraId="13809A9C">
            <w:pPr>
              <w:shd w:val="clear"/>
              <w:jc w:val="center"/>
              <w:textAlignment w:val="center"/>
              <w:rPr>
                <w:rFonts w:ascii="宋体" w:hAnsi="宋体" w:eastAsia="宋体" w:cs="宋体"/>
                <w:b/>
                <w:bCs/>
                <w:color w:val="auto"/>
                <w:kern w:val="0"/>
                <w:sz w:val="21"/>
                <w:szCs w:val="21"/>
                <w:highlight w:val="none"/>
              </w:rPr>
            </w:pPr>
            <w:bookmarkStart w:id="1" w:name="OLE_LINK1"/>
            <w:r>
              <w:rPr>
                <w:rFonts w:hint="eastAsia" w:ascii="宋体" w:hAnsi="宋体" w:eastAsia="宋体" w:cs="宋体"/>
                <w:b/>
                <w:bCs/>
                <w:color w:val="auto"/>
                <w:kern w:val="0"/>
                <w:sz w:val="21"/>
                <w:szCs w:val="21"/>
                <w:highlight w:val="none"/>
              </w:rPr>
              <w:t>评审因素</w:t>
            </w:r>
          </w:p>
        </w:tc>
        <w:tc>
          <w:tcPr>
            <w:tcW w:w="8500" w:type="dxa"/>
            <w:tcMar>
              <w:top w:w="15" w:type="dxa"/>
              <w:left w:w="15" w:type="dxa"/>
              <w:right w:w="15" w:type="dxa"/>
            </w:tcMar>
            <w:vAlign w:val="center"/>
          </w:tcPr>
          <w:p w14:paraId="27B4D22C">
            <w:pPr>
              <w:shd w:val="clear"/>
              <w:jc w:val="center"/>
              <w:textAlignment w:val="center"/>
              <w:rPr>
                <w:rFonts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评分细则</w:t>
            </w:r>
          </w:p>
        </w:tc>
      </w:tr>
      <w:tr w14:paraId="4C01E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1454" w:type="dxa"/>
            <w:tcMar>
              <w:top w:w="15" w:type="dxa"/>
              <w:left w:w="15" w:type="dxa"/>
              <w:right w:w="15" w:type="dxa"/>
            </w:tcMar>
            <w:vAlign w:val="center"/>
          </w:tcPr>
          <w:p w14:paraId="7B2C34AE">
            <w:pPr>
              <w:shd w:val="clear"/>
              <w:snapToGrid w:val="0"/>
              <w:spacing w:line="240" w:lineRule="auto"/>
              <w:jc w:val="center"/>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技术参数</w:t>
            </w:r>
          </w:p>
          <w:p w14:paraId="48DD5270">
            <w:pPr>
              <w:shd w:val="clear"/>
              <w:snapToGrid w:val="0"/>
              <w:spacing w:line="240" w:lineRule="auto"/>
              <w:jc w:val="center"/>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w:t>
            </w:r>
            <w:r>
              <w:rPr>
                <w:rStyle w:val="43"/>
                <w:rFonts w:hint="eastAsia" w:ascii="宋体" w:hAnsi="宋体" w:eastAsia="宋体" w:cs="宋体"/>
                <w:color w:val="auto"/>
                <w:sz w:val="21"/>
                <w:szCs w:val="21"/>
                <w:highlight w:val="none"/>
                <w:lang w:val="en-US" w:eastAsia="zh-CN"/>
              </w:rPr>
              <w:t>30</w:t>
            </w:r>
            <w:r>
              <w:rPr>
                <w:rStyle w:val="43"/>
                <w:rFonts w:hint="eastAsia" w:ascii="宋体" w:hAnsi="宋体" w:eastAsia="宋体" w:cs="宋体"/>
                <w:color w:val="auto"/>
                <w:sz w:val="21"/>
                <w:szCs w:val="21"/>
                <w:highlight w:val="none"/>
              </w:rPr>
              <w:t>分）</w:t>
            </w:r>
          </w:p>
        </w:tc>
        <w:tc>
          <w:tcPr>
            <w:tcW w:w="8500" w:type="dxa"/>
            <w:tcMar>
              <w:top w:w="15" w:type="dxa"/>
              <w:left w:w="15" w:type="dxa"/>
              <w:right w:w="15" w:type="dxa"/>
            </w:tcMar>
            <w:vAlign w:val="center"/>
          </w:tcPr>
          <w:p w14:paraId="189900F3">
            <w:pPr>
              <w:shd w:val="clear"/>
              <w:snapToGrid w:val="0"/>
              <w:spacing w:line="240" w:lineRule="auto"/>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1.技术参数、功能指标完全满足或优于</w:t>
            </w:r>
            <w:r>
              <w:rPr>
                <w:rStyle w:val="43"/>
                <w:rFonts w:hint="eastAsia" w:ascii="宋体" w:hAnsi="宋体" w:eastAsia="宋体" w:cs="宋体"/>
                <w:color w:val="auto"/>
                <w:sz w:val="21"/>
                <w:szCs w:val="21"/>
                <w:highlight w:val="none"/>
                <w:lang w:val="en-US" w:eastAsia="zh-CN"/>
              </w:rPr>
              <w:t>比选</w:t>
            </w:r>
            <w:r>
              <w:rPr>
                <w:rStyle w:val="43"/>
                <w:rFonts w:hint="eastAsia" w:ascii="宋体" w:hAnsi="宋体" w:eastAsia="宋体" w:cs="宋体"/>
                <w:color w:val="auto"/>
                <w:sz w:val="21"/>
                <w:szCs w:val="21"/>
                <w:highlight w:val="none"/>
              </w:rPr>
              <w:t>文件的得</w:t>
            </w:r>
            <w:r>
              <w:rPr>
                <w:rStyle w:val="43"/>
                <w:rFonts w:hint="eastAsia" w:ascii="宋体" w:hAnsi="宋体" w:eastAsia="宋体" w:cs="宋体"/>
                <w:color w:val="auto"/>
                <w:sz w:val="21"/>
                <w:szCs w:val="21"/>
                <w:highlight w:val="none"/>
                <w:lang w:val="en-US" w:eastAsia="zh-CN"/>
              </w:rPr>
              <w:t>30</w:t>
            </w:r>
            <w:r>
              <w:rPr>
                <w:rStyle w:val="43"/>
                <w:rFonts w:hint="eastAsia" w:ascii="宋体" w:hAnsi="宋体" w:eastAsia="宋体" w:cs="宋体"/>
                <w:color w:val="auto"/>
                <w:sz w:val="21"/>
                <w:szCs w:val="21"/>
                <w:highlight w:val="none"/>
              </w:rPr>
              <w:t>分。</w:t>
            </w:r>
          </w:p>
          <w:p w14:paraId="10E2A8E3">
            <w:pPr>
              <w:shd w:val="clear"/>
              <w:snapToGrid w:val="0"/>
              <w:spacing w:line="240" w:lineRule="auto"/>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2.▲项为</w:t>
            </w:r>
            <w:r>
              <w:rPr>
                <w:rStyle w:val="43"/>
                <w:rFonts w:hint="eastAsia" w:ascii="宋体" w:hAnsi="宋体" w:eastAsia="宋体" w:cs="宋体"/>
                <w:color w:val="auto"/>
                <w:sz w:val="21"/>
                <w:szCs w:val="21"/>
                <w:highlight w:val="none"/>
                <w:lang w:val="en-US" w:eastAsia="zh-CN"/>
              </w:rPr>
              <w:t>重要技术参数</w:t>
            </w:r>
            <w:r>
              <w:rPr>
                <w:rStyle w:val="43"/>
                <w:rFonts w:hint="eastAsia" w:ascii="宋体" w:hAnsi="宋体" w:eastAsia="宋体" w:cs="宋体"/>
                <w:color w:val="auto"/>
                <w:sz w:val="21"/>
                <w:szCs w:val="21"/>
                <w:highlight w:val="none"/>
              </w:rPr>
              <w:t>，出现负偏离每一个扣</w:t>
            </w:r>
            <w:r>
              <w:rPr>
                <w:rStyle w:val="43"/>
                <w:rFonts w:hint="eastAsia" w:ascii="宋体" w:hAnsi="宋体" w:eastAsia="宋体" w:cs="宋体"/>
                <w:color w:val="auto"/>
                <w:sz w:val="21"/>
                <w:szCs w:val="21"/>
                <w:highlight w:val="none"/>
                <w:lang w:val="en-US" w:eastAsia="zh-CN"/>
              </w:rPr>
              <w:t>3</w:t>
            </w:r>
            <w:r>
              <w:rPr>
                <w:rStyle w:val="43"/>
                <w:rFonts w:hint="eastAsia" w:ascii="宋体" w:hAnsi="宋体" w:eastAsia="宋体" w:cs="宋体"/>
                <w:color w:val="auto"/>
                <w:sz w:val="21"/>
                <w:szCs w:val="21"/>
                <w:highlight w:val="none"/>
              </w:rPr>
              <w:t>分；</w:t>
            </w:r>
          </w:p>
          <w:p w14:paraId="02E34FA7">
            <w:pPr>
              <w:shd w:val="clear"/>
              <w:snapToGrid w:val="0"/>
              <w:spacing w:line="240" w:lineRule="auto"/>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3.其他参数出现负偏离每一个扣</w:t>
            </w:r>
            <w:r>
              <w:rPr>
                <w:rStyle w:val="43"/>
                <w:rFonts w:hint="eastAsia" w:ascii="宋体" w:hAnsi="宋体" w:eastAsia="宋体" w:cs="宋体"/>
                <w:color w:val="auto"/>
                <w:sz w:val="21"/>
                <w:szCs w:val="21"/>
                <w:highlight w:val="none"/>
                <w:lang w:val="en-US" w:eastAsia="zh-CN"/>
              </w:rPr>
              <w:t>1</w:t>
            </w:r>
            <w:r>
              <w:rPr>
                <w:rStyle w:val="43"/>
                <w:rFonts w:hint="eastAsia" w:ascii="宋体" w:hAnsi="宋体" w:eastAsia="宋体" w:cs="宋体"/>
                <w:color w:val="auto"/>
                <w:sz w:val="21"/>
                <w:szCs w:val="21"/>
                <w:highlight w:val="none"/>
              </w:rPr>
              <w:t>分，扣完为止。</w:t>
            </w:r>
          </w:p>
          <w:p w14:paraId="43FE0836">
            <w:pPr>
              <w:shd w:val="clear"/>
              <w:snapToGrid w:val="0"/>
              <w:spacing w:line="240" w:lineRule="auto"/>
              <w:rPr>
                <w:color w:val="auto"/>
                <w:highlight w:val="none"/>
              </w:rPr>
            </w:pPr>
            <w:r>
              <w:rPr>
                <w:rStyle w:val="43"/>
                <w:rFonts w:hint="eastAsia" w:ascii="宋体" w:hAnsi="宋体" w:eastAsia="宋体" w:cs="宋体"/>
                <w:color w:val="auto"/>
                <w:sz w:val="21"/>
                <w:szCs w:val="21"/>
                <w:highlight w:val="none"/>
              </w:rPr>
              <w:t>技术参数中要求提供相关证明材料的须按相应要求提供，否则视为负偏离，▲项必须提供产品原厂彩页、说明书或官网截图等有效证明材料，否则视为负偏离。“▲”的条款需在商务技术条款响应一览表中详细标明所在投标文件中的具体页码和位置。如因未在《商务技术条款响应一览表》中注明支持资料具体页码和位置导致本项不得分的，由此产生的后果由供应商自行承担。</w:t>
            </w:r>
          </w:p>
        </w:tc>
      </w:tr>
      <w:tr w14:paraId="2FACC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454" w:type="dxa"/>
            <w:shd w:val="clear" w:color="auto" w:fill="auto"/>
            <w:tcMar>
              <w:top w:w="15" w:type="dxa"/>
              <w:left w:w="15" w:type="dxa"/>
              <w:right w:w="15" w:type="dxa"/>
            </w:tcMar>
            <w:vAlign w:val="center"/>
          </w:tcPr>
          <w:p w14:paraId="22797A7D">
            <w:pPr>
              <w:shd w:val="clear"/>
              <w:snapToGrid w:val="0"/>
              <w:spacing w:line="240" w:lineRule="auto"/>
              <w:jc w:val="center"/>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进度计划</w:t>
            </w:r>
          </w:p>
          <w:p w14:paraId="5827A561">
            <w:pPr>
              <w:shd w:val="clear"/>
              <w:snapToGrid w:val="0"/>
              <w:spacing w:line="240" w:lineRule="auto"/>
              <w:jc w:val="center"/>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（15分）</w:t>
            </w:r>
          </w:p>
        </w:tc>
        <w:tc>
          <w:tcPr>
            <w:tcW w:w="8500" w:type="dxa"/>
            <w:shd w:val="clear" w:color="auto" w:fill="auto"/>
            <w:tcMar>
              <w:top w:w="15" w:type="dxa"/>
              <w:left w:w="15" w:type="dxa"/>
              <w:right w:w="15" w:type="dxa"/>
            </w:tcMar>
            <w:vAlign w:val="center"/>
          </w:tcPr>
          <w:p w14:paraId="6B95B6B5">
            <w:pPr>
              <w:shd w:val="clear"/>
              <w:snapToGrid w:val="0"/>
              <w:spacing w:line="240" w:lineRule="auto"/>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供应商供货计划优秀，供货期保证措施详细、科学、可行，能够很好保证计划能顺利实施得15分；</w:t>
            </w:r>
          </w:p>
          <w:p w14:paraId="22098495">
            <w:pPr>
              <w:shd w:val="clear"/>
              <w:snapToGrid w:val="0"/>
              <w:spacing w:line="240" w:lineRule="auto"/>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供应商供货计划一般，供货期保证措施一般得10分；</w:t>
            </w:r>
          </w:p>
          <w:p w14:paraId="58BB7BF5">
            <w:pPr>
              <w:shd w:val="clear"/>
              <w:snapToGrid w:val="0"/>
              <w:spacing w:line="240" w:lineRule="auto"/>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供应商供货计划较差，供货期保证措施较差，难以实施得5分；</w:t>
            </w:r>
          </w:p>
          <w:p w14:paraId="1DC8A957">
            <w:pPr>
              <w:shd w:val="clear"/>
              <w:tabs>
                <w:tab w:val="left" w:pos="6500"/>
              </w:tabs>
              <w:snapToGrid w:val="0"/>
              <w:spacing w:line="240" w:lineRule="auto"/>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未提供不得分。</w:t>
            </w:r>
          </w:p>
        </w:tc>
      </w:tr>
      <w:tr w14:paraId="2EB5E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454" w:type="dxa"/>
            <w:tcMar>
              <w:top w:w="15" w:type="dxa"/>
              <w:left w:w="15" w:type="dxa"/>
              <w:right w:w="15" w:type="dxa"/>
            </w:tcMar>
            <w:vAlign w:val="center"/>
          </w:tcPr>
          <w:p w14:paraId="67322690">
            <w:pPr>
              <w:shd w:val="clear"/>
              <w:snapToGrid w:val="0"/>
              <w:spacing w:line="240" w:lineRule="auto"/>
              <w:jc w:val="center"/>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业绩</w:t>
            </w:r>
          </w:p>
          <w:p w14:paraId="7AB22BE1">
            <w:pPr>
              <w:shd w:val="clear"/>
              <w:snapToGrid w:val="0"/>
              <w:spacing w:line="240" w:lineRule="auto"/>
              <w:jc w:val="center"/>
              <w:rPr>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（10分）</w:t>
            </w:r>
          </w:p>
        </w:tc>
        <w:tc>
          <w:tcPr>
            <w:tcW w:w="8500" w:type="dxa"/>
            <w:tcMar>
              <w:top w:w="15" w:type="dxa"/>
              <w:left w:w="15" w:type="dxa"/>
              <w:right w:w="15" w:type="dxa"/>
            </w:tcMar>
            <w:vAlign w:val="center"/>
          </w:tcPr>
          <w:p w14:paraId="71CFCD80">
            <w:pPr>
              <w:shd w:val="clear"/>
              <w:snapToGrid w:val="0"/>
              <w:spacing w:line="240" w:lineRule="auto"/>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提供自202</w:t>
            </w:r>
            <w:r>
              <w:rPr>
                <w:rStyle w:val="43"/>
                <w:rFonts w:hint="eastAsia" w:ascii="宋体" w:hAnsi="宋体" w:eastAsia="宋体" w:cs="宋体"/>
                <w:color w:val="auto"/>
                <w:sz w:val="21"/>
                <w:szCs w:val="21"/>
                <w:highlight w:val="none"/>
                <w:lang w:val="en-US" w:eastAsia="zh-CN"/>
              </w:rPr>
              <w:t>2</w:t>
            </w:r>
            <w:r>
              <w:rPr>
                <w:rStyle w:val="43"/>
                <w:rFonts w:hint="eastAsia" w:ascii="宋体" w:hAnsi="宋体" w:eastAsia="宋体" w:cs="宋体"/>
                <w:color w:val="auto"/>
                <w:sz w:val="21"/>
                <w:szCs w:val="21"/>
                <w:highlight w:val="none"/>
              </w:rPr>
              <w:t>年1月1日以来</w:t>
            </w:r>
            <w:r>
              <w:rPr>
                <w:rStyle w:val="43"/>
                <w:rFonts w:hint="eastAsia" w:ascii="宋体" w:hAnsi="宋体" w:eastAsia="宋体" w:cs="宋体"/>
                <w:color w:val="auto"/>
                <w:sz w:val="21"/>
                <w:szCs w:val="21"/>
                <w:highlight w:val="none"/>
                <w:lang w:eastAsia="zh-CN"/>
              </w:rPr>
              <w:t>（</w:t>
            </w:r>
            <w:r>
              <w:rPr>
                <w:rStyle w:val="43"/>
                <w:rFonts w:hint="eastAsia" w:ascii="宋体" w:hAnsi="宋体" w:eastAsia="宋体" w:cs="宋体"/>
                <w:color w:val="auto"/>
                <w:sz w:val="21"/>
                <w:szCs w:val="21"/>
                <w:highlight w:val="none"/>
                <w:lang w:val="en-US" w:eastAsia="zh-CN"/>
              </w:rPr>
              <w:t>以发票开具时间为准</w:t>
            </w:r>
            <w:r>
              <w:rPr>
                <w:rStyle w:val="43"/>
                <w:rFonts w:hint="eastAsia" w:ascii="宋体" w:hAnsi="宋体" w:eastAsia="宋体" w:cs="宋体"/>
                <w:color w:val="auto"/>
                <w:sz w:val="21"/>
                <w:szCs w:val="21"/>
                <w:highlight w:val="none"/>
                <w:lang w:eastAsia="zh-CN"/>
              </w:rPr>
              <w:t>）</w:t>
            </w:r>
            <w:r>
              <w:rPr>
                <w:rStyle w:val="43"/>
                <w:rFonts w:hint="eastAsia" w:ascii="宋体" w:hAnsi="宋体" w:eastAsia="宋体" w:cs="宋体"/>
                <w:color w:val="auto"/>
                <w:sz w:val="21"/>
                <w:szCs w:val="21"/>
                <w:highlight w:val="none"/>
              </w:rPr>
              <w:t>供应商</w:t>
            </w:r>
            <w:r>
              <w:rPr>
                <w:rStyle w:val="43"/>
                <w:rFonts w:hint="eastAsia" w:ascii="宋体" w:hAnsi="宋体" w:eastAsia="宋体" w:cs="宋体"/>
                <w:color w:val="auto"/>
                <w:sz w:val="21"/>
                <w:szCs w:val="21"/>
                <w:highlight w:val="none"/>
                <w:lang w:val="en-US" w:eastAsia="zh-CN"/>
              </w:rPr>
              <w:t>承接的</w:t>
            </w:r>
            <w:r>
              <w:rPr>
                <w:rStyle w:val="43"/>
                <w:rFonts w:hint="eastAsia" w:ascii="宋体" w:hAnsi="宋体" w:eastAsia="宋体" w:cs="宋体"/>
                <w:color w:val="auto"/>
                <w:sz w:val="21"/>
                <w:szCs w:val="21"/>
                <w:highlight w:val="none"/>
              </w:rPr>
              <w:t>类似供货业绩</w:t>
            </w:r>
            <w:r>
              <w:rPr>
                <w:rStyle w:val="43"/>
                <w:rFonts w:hint="eastAsia" w:ascii="宋体" w:hAnsi="宋体" w:eastAsia="宋体" w:cs="宋体"/>
                <w:color w:val="auto"/>
                <w:sz w:val="21"/>
                <w:szCs w:val="21"/>
                <w:highlight w:val="none"/>
                <w:lang w:eastAsia="zh-CN"/>
              </w:rPr>
              <w:t>，</w:t>
            </w:r>
            <w:r>
              <w:rPr>
                <w:rStyle w:val="43"/>
                <w:rFonts w:hint="eastAsia" w:ascii="宋体" w:hAnsi="宋体" w:eastAsia="宋体" w:cs="宋体"/>
                <w:color w:val="auto"/>
                <w:sz w:val="21"/>
                <w:szCs w:val="21"/>
                <w:highlight w:val="none"/>
                <w:lang w:val="en-US" w:eastAsia="zh-CN"/>
              </w:rPr>
              <w:t>每提供一份销售发票</w:t>
            </w:r>
            <w:r>
              <w:rPr>
                <w:rStyle w:val="43"/>
                <w:rFonts w:hint="eastAsia" w:ascii="宋体" w:hAnsi="宋体" w:eastAsia="宋体" w:cs="宋体"/>
                <w:color w:val="auto"/>
                <w:sz w:val="21"/>
                <w:szCs w:val="21"/>
                <w:highlight w:val="none"/>
              </w:rPr>
              <w:t>得</w:t>
            </w:r>
            <w:r>
              <w:rPr>
                <w:rStyle w:val="43"/>
                <w:rFonts w:hint="eastAsia" w:ascii="宋体" w:hAnsi="宋体" w:eastAsia="宋体" w:cs="宋体"/>
                <w:color w:val="auto"/>
                <w:sz w:val="21"/>
                <w:szCs w:val="21"/>
                <w:highlight w:val="none"/>
                <w:lang w:val="en-US" w:eastAsia="zh-CN"/>
              </w:rPr>
              <w:t>1</w:t>
            </w:r>
            <w:r>
              <w:rPr>
                <w:rStyle w:val="43"/>
                <w:rFonts w:hint="eastAsia" w:ascii="宋体" w:hAnsi="宋体" w:eastAsia="宋体" w:cs="宋体"/>
                <w:color w:val="auto"/>
                <w:sz w:val="21"/>
                <w:szCs w:val="21"/>
                <w:highlight w:val="none"/>
              </w:rPr>
              <w:t>分，满分 10分。提供</w:t>
            </w:r>
            <w:r>
              <w:rPr>
                <w:rStyle w:val="43"/>
                <w:rFonts w:hint="eastAsia" w:ascii="宋体" w:hAnsi="宋体" w:eastAsia="宋体" w:cs="宋体"/>
                <w:color w:val="auto"/>
                <w:sz w:val="21"/>
                <w:szCs w:val="21"/>
                <w:highlight w:val="none"/>
                <w:lang w:val="en-US" w:eastAsia="zh-CN"/>
              </w:rPr>
              <w:t>供应商开具的类似供货业绩</w:t>
            </w:r>
            <w:r>
              <w:rPr>
                <w:rStyle w:val="43"/>
                <w:rFonts w:hint="eastAsia" w:ascii="宋体" w:hAnsi="宋体" w:eastAsia="宋体" w:cs="宋体"/>
                <w:color w:val="auto"/>
                <w:sz w:val="21"/>
                <w:szCs w:val="21"/>
                <w:highlight w:val="none"/>
              </w:rPr>
              <w:t>销售发票</w:t>
            </w:r>
            <w:r>
              <w:rPr>
                <w:rStyle w:val="43"/>
                <w:rFonts w:hint="eastAsia" w:ascii="宋体" w:hAnsi="宋体" w:eastAsia="宋体" w:cs="宋体"/>
                <w:color w:val="auto"/>
                <w:sz w:val="21"/>
                <w:szCs w:val="21"/>
                <w:highlight w:val="none"/>
                <w:lang w:val="en-US" w:eastAsia="zh-CN"/>
              </w:rPr>
              <w:t>复印件</w:t>
            </w:r>
            <w:r>
              <w:rPr>
                <w:rStyle w:val="43"/>
                <w:rFonts w:hint="eastAsia" w:ascii="宋体" w:hAnsi="宋体" w:eastAsia="宋体" w:cs="宋体"/>
                <w:color w:val="auto"/>
                <w:sz w:val="21"/>
                <w:szCs w:val="21"/>
                <w:highlight w:val="none"/>
              </w:rPr>
              <w:t>(</w:t>
            </w:r>
            <w:r>
              <w:rPr>
                <w:rStyle w:val="43"/>
                <w:rFonts w:hint="eastAsia" w:ascii="宋体" w:hAnsi="宋体" w:eastAsia="宋体" w:cs="宋体"/>
                <w:color w:val="auto"/>
                <w:sz w:val="21"/>
                <w:szCs w:val="21"/>
                <w:highlight w:val="none"/>
                <w:lang w:val="en-US" w:eastAsia="zh-CN"/>
              </w:rPr>
              <w:t>开具给同一个采购人的销售发票不重复计分</w:t>
            </w:r>
            <w:r>
              <w:rPr>
                <w:rStyle w:val="43"/>
                <w:rFonts w:hint="eastAsia" w:ascii="宋体" w:hAnsi="宋体" w:eastAsia="宋体" w:cs="宋体"/>
                <w:color w:val="auto"/>
                <w:sz w:val="21"/>
                <w:szCs w:val="21"/>
                <w:highlight w:val="none"/>
              </w:rPr>
              <w:t>)</w:t>
            </w:r>
            <w:r>
              <w:rPr>
                <w:rStyle w:val="43"/>
                <w:rFonts w:hint="eastAsia" w:ascii="宋体" w:hAnsi="宋体" w:eastAsia="宋体" w:cs="宋体"/>
                <w:color w:val="auto"/>
                <w:sz w:val="21"/>
                <w:szCs w:val="21"/>
                <w:highlight w:val="none"/>
                <w:lang w:eastAsia="zh-CN"/>
              </w:rPr>
              <w:t>。</w:t>
            </w:r>
          </w:p>
        </w:tc>
      </w:tr>
      <w:tr w14:paraId="40E4F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454" w:type="dxa"/>
            <w:vMerge w:val="restart"/>
            <w:tcMar>
              <w:top w:w="15" w:type="dxa"/>
              <w:left w:w="15" w:type="dxa"/>
              <w:right w:w="15" w:type="dxa"/>
            </w:tcMar>
            <w:vAlign w:val="center"/>
          </w:tcPr>
          <w:p w14:paraId="360FB197">
            <w:pPr>
              <w:shd w:val="clear"/>
              <w:snapToGrid w:val="0"/>
              <w:spacing w:line="240" w:lineRule="auto"/>
              <w:jc w:val="center"/>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售后服务</w:t>
            </w:r>
          </w:p>
          <w:p w14:paraId="4BCDCCBF">
            <w:pPr>
              <w:shd w:val="clear"/>
              <w:snapToGrid w:val="0"/>
              <w:spacing w:line="240" w:lineRule="auto"/>
              <w:jc w:val="center"/>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（15分）</w:t>
            </w:r>
          </w:p>
          <w:p w14:paraId="51ABAD94">
            <w:pPr>
              <w:shd w:val="clear"/>
              <w:snapToGrid w:val="0"/>
              <w:spacing w:line="240" w:lineRule="auto"/>
              <w:ind w:firstLine="424" w:firstLineChars="202"/>
              <w:jc w:val="center"/>
              <w:rPr>
                <w:rStyle w:val="43"/>
                <w:rFonts w:ascii="宋体" w:hAnsi="宋体" w:eastAsia="宋体" w:cs="宋体"/>
                <w:color w:val="auto"/>
                <w:sz w:val="21"/>
                <w:szCs w:val="21"/>
                <w:highlight w:val="none"/>
              </w:rPr>
            </w:pPr>
          </w:p>
        </w:tc>
        <w:tc>
          <w:tcPr>
            <w:tcW w:w="8500" w:type="dxa"/>
            <w:tcMar>
              <w:top w:w="15" w:type="dxa"/>
              <w:left w:w="15" w:type="dxa"/>
              <w:right w:w="15" w:type="dxa"/>
            </w:tcMar>
            <w:vAlign w:val="center"/>
          </w:tcPr>
          <w:p w14:paraId="3A5CE538">
            <w:pPr>
              <w:shd w:val="clear"/>
              <w:snapToGrid w:val="0"/>
              <w:spacing w:line="240" w:lineRule="auto"/>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1.</w:t>
            </w:r>
            <w:r>
              <w:rPr>
                <w:rStyle w:val="43"/>
                <w:rFonts w:hint="eastAsia" w:ascii="宋体" w:hAnsi="宋体" w:eastAsia="宋体" w:cs="宋体"/>
                <w:color w:val="auto"/>
                <w:sz w:val="21"/>
                <w:szCs w:val="21"/>
                <w:highlight w:val="none"/>
              </w:rPr>
              <w:t xml:space="preserve">免费质保期                                                </w:t>
            </w:r>
          </w:p>
          <w:p w14:paraId="1F3230BE">
            <w:pPr>
              <w:shd w:val="clear"/>
              <w:snapToGrid w:val="0"/>
              <w:spacing w:line="240" w:lineRule="auto"/>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满足采购文件质保期要求并提供制造商质保承诺</w:t>
            </w:r>
            <w:r>
              <w:rPr>
                <w:rStyle w:val="43"/>
                <w:rFonts w:hint="eastAsia" w:ascii="宋体" w:hAnsi="宋体" w:eastAsia="宋体" w:cs="宋体"/>
                <w:color w:val="auto"/>
                <w:sz w:val="21"/>
                <w:szCs w:val="21"/>
                <w:highlight w:val="none"/>
                <w:lang w:val="en-US" w:eastAsia="zh-CN"/>
              </w:rPr>
              <w:t>得3</w:t>
            </w:r>
            <w:r>
              <w:rPr>
                <w:rStyle w:val="43"/>
                <w:rFonts w:hint="eastAsia" w:ascii="宋体" w:hAnsi="宋体" w:eastAsia="宋体" w:cs="宋体"/>
                <w:color w:val="auto"/>
                <w:sz w:val="21"/>
                <w:szCs w:val="21"/>
                <w:highlight w:val="none"/>
              </w:rPr>
              <w:t>分。</w:t>
            </w:r>
            <w:r>
              <w:rPr>
                <w:rStyle w:val="43"/>
                <w:rFonts w:hint="eastAsia" w:ascii="宋体" w:hAnsi="宋体" w:eastAsia="宋体" w:cs="宋体"/>
                <w:color w:val="auto"/>
                <w:sz w:val="21"/>
                <w:szCs w:val="21"/>
                <w:highlight w:val="none"/>
                <w:lang w:val="en-US" w:eastAsia="zh-CN"/>
              </w:rPr>
              <w:t>质保期每增加一年，加1分，满分5分。</w:t>
            </w:r>
          </w:p>
        </w:tc>
      </w:tr>
      <w:tr w14:paraId="1BE49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454" w:type="dxa"/>
            <w:vMerge w:val="continue"/>
            <w:tcMar>
              <w:top w:w="15" w:type="dxa"/>
              <w:left w:w="15" w:type="dxa"/>
              <w:right w:w="15" w:type="dxa"/>
            </w:tcMar>
            <w:vAlign w:val="center"/>
          </w:tcPr>
          <w:p w14:paraId="34DEBC70">
            <w:pPr>
              <w:shd w:val="clear"/>
              <w:snapToGrid w:val="0"/>
              <w:spacing w:line="240" w:lineRule="auto"/>
              <w:ind w:firstLine="424" w:firstLineChars="202"/>
              <w:jc w:val="center"/>
              <w:rPr>
                <w:rStyle w:val="43"/>
                <w:rFonts w:ascii="宋体" w:hAnsi="宋体" w:eastAsia="宋体" w:cs="宋体"/>
                <w:color w:val="auto"/>
                <w:sz w:val="21"/>
                <w:szCs w:val="21"/>
                <w:highlight w:val="none"/>
              </w:rPr>
            </w:pPr>
          </w:p>
        </w:tc>
        <w:tc>
          <w:tcPr>
            <w:tcW w:w="8500" w:type="dxa"/>
            <w:tcMar>
              <w:top w:w="15" w:type="dxa"/>
              <w:left w:w="15" w:type="dxa"/>
              <w:right w:w="15" w:type="dxa"/>
            </w:tcMar>
            <w:vAlign w:val="center"/>
          </w:tcPr>
          <w:p w14:paraId="571254F5">
            <w:pPr>
              <w:shd w:val="clear"/>
              <w:snapToGrid w:val="0"/>
              <w:spacing w:line="240" w:lineRule="auto"/>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2</w:t>
            </w:r>
            <w:r>
              <w:rPr>
                <w:rStyle w:val="43"/>
                <w:rFonts w:hint="eastAsia" w:ascii="宋体" w:hAnsi="宋体" w:eastAsia="宋体" w:cs="宋体"/>
                <w:color w:val="auto"/>
                <w:sz w:val="21"/>
                <w:szCs w:val="21"/>
                <w:highlight w:val="none"/>
                <w:lang w:eastAsia="zh-CN"/>
              </w:rPr>
              <w:t>.</w:t>
            </w:r>
            <w:r>
              <w:rPr>
                <w:rStyle w:val="43"/>
                <w:rFonts w:hint="eastAsia" w:ascii="宋体" w:hAnsi="宋体" w:eastAsia="宋体" w:cs="宋体"/>
                <w:color w:val="auto"/>
                <w:sz w:val="21"/>
                <w:szCs w:val="21"/>
                <w:highlight w:val="none"/>
              </w:rPr>
              <w:t xml:space="preserve">完整的售后服务体系、合理的售后服务措施                                          </w:t>
            </w:r>
          </w:p>
          <w:p w14:paraId="52D8FE33">
            <w:pPr>
              <w:shd w:val="clear"/>
              <w:snapToGrid w:val="0"/>
              <w:spacing w:line="240" w:lineRule="auto"/>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售后服务体系全面、完整得</w:t>
            </w:r>
            <w:r>
              <w:rPr>
                <w:rStyle w:val="43"/>
                <w:rFonts w:hint="eastAsia" w:ascii="宋体" w:hAnsi="宋体" w:eastAsia="宋体" w:cs="宋体"/>
                <w:color w:val="auto"/>
                <w:sz w:val="21"/>
                <w:szCs w:val="21"/>
                <w:highlight w:val="none"/>
                <w:lang w:val="en-US" w:eastAsia="zh-CN"/>
              </w:rPr>
              <w:t>5</w:t>
            </w:r>
            <w:r>
              <w:rPr>
                <w:rStyle w:val="43"/>
                <w:rFonts w:hint="eastAsia" w:ascii="宋体" w:hAnsi="宋体" w:eastAsia="宋体" w:cs="宋体"/>
                <w:color w:val="auto"/>
                <w:sz w:val="21"/>
                <w:szCs w:val="21"/>
                <w:highlight w:val="none"/>
              </w:rPr>
              <w:t>分；</w:t>
            </w:r>
          </w:p>
          <w:p w14:paraId="2130569A">
            <w:pPr>
              <w:shd w:val="clear"/>
              <w:snapToGrid w:val="0"/>
              <w:spacing w:line="240" w:lineRule="auto"/>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售后服务体系较全面、较完整得</w:t>
            </w:r>
            <w:r>
              <w:rPr>
                <w:rStyle w:val="43"/>
                <w:rFonts w:hint="eastAsia" w:ascii="宋体" w:hAnsi="宋体" w:eastAsia="宋体" w:cs="宋体"/>
                <w:color w:val="auto"/>
                <w:sz w:val="21"/>
                <w:szCs w:val="21"/>
                <w:highlight w:val="none"/>
                <w:lang w:val="en-US" w:eastAsia="zh-CN"/>
              </w:rPr>
              <w:t>3</w:t>
            </w:r>
            <w:r>
              <w:rPr>
                <w:rStyle w:val="43"/>
                <w:rFonts w:hint="eastAsia" w:ascii="宋体" w:hAnsi="宋体" w:eastAsia="宋体" w:cs="宋体"/>
                <w:color w:val="auto"/>
                <w:sz w:val="21"/>
                <w:szCs w:val="21"/>
                <w:highlight w:val="none"/>
              </w:rPr>
              <w:t>分；</w:t>
            </w:r>
          </w:p>
          <w:p w14:paraId="6848CB39">
            <w:pPr>
              <w:shd w:val="clear"/>
              <w:snapToGrid w:val="0"/>
              <w:spacing w:line="240" w:lineRule="auto"/>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售后服务体系基本完整得1分；</w:t>
            </w:r>
          </w:p>
          <w:p w14:paraId="07C91C15">
            <w:pPr>
              <w:shd w:val="clear"/>
              <w:snapToGrid w:val="0"/>
              <w:spacing w:line="240" w:lineRule="auto"/>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未提供不得分</w:t>
            </w:r>
            <w:r>
              <w:rPr>
                <w:rStyle w:val="43"/>
                <w:rFonts w:hint="eastAsia" w:ascii="宋体" w:hAnsi="宋体" w:eastAsia="宋体" w:cs="宋体"/>
                <w:color w:val="auto"/>
                <w:sz w:val="21"/>
                <w:szCs w:val="21"/>
                <w:highlight w:val="none"/>
              </w:rPr>
              <w:t>。</w:t>
            </w:r>
          </w:p>
        </w:tc>
      </w:tr>
      <w:tr w14:paraId="48D54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454" w:type="dxa"/>
            <w:vMerge w:val="continue"/>
            <w:tcMar>
              <w:top w:w="15" w:type="dxa"/>
              <w:left w:w="15" w:type="dxa"/>
              <w:right w:w="15" w:type="dxa"/>
            </w:tcMar>
            <w:vAlign w:val="center"/>
          </w:tcPr>
          <w:p w14:paraId="7B160A7C">
            <w:pPr>
              <w:shd w:val="clear"/>
              <w:snapToGrid w:val="0"/>
              <w:spacing w:line="240" w:lineRule="auto"/>
              <w:ind w:firstLine="424" w:firstLineChars="202"/>
              <w:jc w:val="center"/>
              <w:rPr>
                <w:rStyle w:val="43"/>
                <w:rFonts w:ascii="宋体" w:hAnsi="宋体" w:eastAsia="宋体" w:cs="宋体"/>
                <w:color w:val="auto"/>
                <w:sz w:val="21"/>
                <w:szCs w:val="21"/>
                <w:highlight w:val="none"/>
              </w:rPr>
            </w:pPr>
          </w:p>
        </w:tc>
        <w:tc>
          <w:tcPr>
            <w:tcW w:w="8500" w:type="dxa"/>
            <w:tcMar>
              <w:top w:w="15" w:type="dxa"/>
              <w:left w:w="15" w:type="dxa"/>
              <w:right w:w="15" w:type="dxa"/>
            </w:tcMar>
            <w:vAlign w:val="center"/>
          </w:tcPr>
          <w:p w14:paraId="5CBB1AE8">
            <w:pPr>
              <w:shd w:val="clear"/>
              <w:snapToGrid w:val="0"/>
              <w:spacing w:line="240" w:lineRule="auto"/>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3</w:t>
            </w:r>
            <w:r>
              <w:rPr>
                <w:rStyle w:val="43"/>
                <w:rFonts w:hint="eastAsia" w:ascii="宋体" w:hAnsi="宋体" w:eastAsia="宋体" w:cs="宋体"/>
                <w:color w:val="auto"/>
                <w:sz w:val="21"/>
                <w:szCs w:val="21"/>
                <w:highlight w:val="none"/>
                <w:lang w:eastAsia="zh-CN"/>
              </w:rPr>
              <w:t>.</w:t>
            </w:r>
            <w:r>
              <w:rPr>
                <w:rStyle w:val="43"/>
                <w:rFonts w:hint="eastAsia" w:ascii="宋体" w:hAnsi="宋体" w:eastAsia="宋体" w:cs="宋体"/>
                <w:color w:val="auto"/>
                <w:sz w:val="21"/>
                <w:szCs w:val="21"/>
                <w:highlight w:val="none"/>
              </w:rPr>
              <w:t xml:space="preserve">针对本项目的服务响应及保障                                                       </w:t>
            </w:r>
          </w:p>
          <w:p w14:paraId="333E89CB">
            <w:pPr>
              <w:shd w:val="clear"/>
              <w:snapToGrid w:val="0"/>
              <w:spacing w:line="240" w:lineRule="auto"/>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eastAsia="zh-Hans"/>
              </w:rPr>
              <w:t>服务响应</w:t>
            </w:r>
            <w:r>
              <w:rPr>
                <w:rStyle w:val="43"/>
                <w:rFonts w:hint="eastAsia" w:ascii="宋体" w:hAnsi="宋体" w:eastAsia="宋体" w:cs="宋体"/>
                <w:color w:val="auto"/>
                <w:sz w:val="21"/>
                <w:szCs w:val="21"/>
                <w:highlight w:val="none"/>
              </w:rPr>
              <w:t>及时，解决问题迅速，保障措施及技术支持可行、到位得</w:t>
            </w:r>
            <w:r>
              <w:rPr>
                <w:rStyle w:val="43"/>
                <w:rFonts w:hint="eastAsia" w:ascii="宋体" w:hAnsi="宋体" w:eastAsia="宋体" w:cs="宋体"/>
                <w:color w:val="auto"/>
                <w:sz w:val="21"/>
                <w:szCs w:val="21"/>
                <w:highlight w:val="none"/>
                <w:lang w:val="en-US" w:eastAsia="zh-CN"/>
              </w:rPr>
              <w:t>5</w:t>
            </w:r>
            <w:r>
              <w:rPr>
                <w:rStyle w:val="43"/>
                <w:rFonts w:hint="eastAsia" w:ascii="宋体" w:hAnsi="宋体" w:eastAsia="宋体" w:cs="宋体"/>
                <w:color w:val="auto"/>
                <w:sz w:val="21"/>
                <w:szCs w:val="21"/>
                <w:highlight w:val="none"/>
              </w:rPr>
              <w:t>分；</w:t>
            </w:r>
          </w:p>
          <w:p w14:paraId="2A12D49C">
            <w:pPr>
              <w:shd w:val="clear"/>
              <w:snapToGrid w:val="0"/>
              <w:spacing w:line="240" w:lineRule="auto"/>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服务响应较及时，解决问题较迅速，技术支持较可行得</w:t>
            </w:r>
            <w:r>
              <w:rPr>
                <w:rStyle w:val="43"/>
                <w:rFonts w:hint="eastAsia" w:ascii="宋体" w:hAnsi="宋体" w:eastAsia="宋体" w:cs="宋体"/>
                <w:color w:val="auto"/>
                <w:sz w:val="21"/>
                <w:szCs w:val="21"/>
                <w:highlight w:val="none"/>
                <w:lang w:val="en-US" w:eastAsia="zh-CN"/>
              </w:rPr>
              <w:t>3</w:t>
            </w:r>
            <w:r>
              <w:rPr>
                <w:rStyle w:val="43"/>
                <w:rFonts w:hint="eastAsia" w:ascii="宋体" w:hAnsi="宋体" w:eastAsia="宋体" w:cs="宋体"/>
                <w:color w:val="auto"/>
                <w:sz w:val="21"/>
                <w:szCs w:val="21"/>
                <w:highlight w:val="none"/>
              </w:rPr>
              <w:t>分；</w:t>
            </w:r>
          </w:p>
          <w:p w14:paraId="06B154FF">
            <w:pPr>
              <w:shd w:val="clear"/>
              <w:snapToGrid w:val="0"/>
              <w:spacing w:line="240" w:lineRule="auto"/>
              <w:rPr>
                <w:rStyle w:val="43"/>
                <w:rFonts w:hint="eastAsia" w:ascii="宋体" w:hAnsi="宋体" w:eastAsia="宋体" w:cs="宋体"/>
                <w:color w:val="auto"/>
                <w:sz w:val="21"/>
                <w:szCs w:val="21"/>
                <w:highlight w:val="none"/>
                <w:lang w:eastAsia="zh-CN"/>
              </w:rPr>
            </w:pPr>
            <w:r>
              <w:rPr>
                <w:rStyle w:val="43"/>
                <w:rFonts w:hint="eastAsia" w:ascii="宋体" w:hAnsi="宋体" w:eastAsia="宋体" w:cs="宋体"/>
                <w:color w:val="auto"/>
                <w:sz w:val="21"/>
                <w:szCs w:val="21"/>
                <w:highlight w:val="none"/>
              </w:rPr>
              <w:t>服务响应基本及时得1分</w:t>
            </w:r>
            <w:r>
              <w:rPr>
                <w:rStyle w:val="43"/>
                <w:rFonts w:hint="eastAsia" w:ascii="宋体" w:hAnsi="宋体" w:eastAsia="宋体" w:cs="宋体"/>
                <w:color w:val="auto"/>
                <w:sz w:val="21"/>
                <w:szCs w:val="21"/>
                <w:highlight w:val="none"/>
                <w:lang w:eastAsia="zh-CN"/>
              </w:rPr>
              <w:t>；</w:t>
            </w:r>
          </w:p>
          <w:p w14:paraId="677AC375">
            <w:pPr>
              <w:shd w:val="clear"/>
              <w:snapToGrid w:val="0"/>
              <w:spacing w:line="240" w:lineRule="auto"/>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未提供不得分</w:t>
            </w:r>
            <w:r>
              <w:rPr>
                <w:rStyle w:val="43"/>
                <w:rFonts w:hint="eastAsia" w:ascii="宋体" w:hAnsi="宋体" w:eastAsia="宋体" w:cs="宋体"/>
                <w:color w:val="auto"/>
                <w:sz w:val="21"/>
                <w:szCs w:val="21"/>
                <w:highlight w:val="none"/>
                <w:lang w:eastAsia="zh-CN"/>
              </w:rPr>
              <w:t>。</w:t>
            </w:r>
          </w:p>
        </w:tc>
      </w:tr>
      <w:bookmarkEnd w:id="1"/>
    </w:tbl>
    <w:p w14:paraId="7EACD6C7">
      <w:pPr>
        <w:shd w:val="clear"/>
        <w:rPr>
          <w:rStyle w:val="43"/>
          <w:rFonts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（二）报价分：（30分）</w:t>
      </w:r>
    </w:p>
    <w:p w14:paraId="2AF870C8">
      <w:pPr>
        <w:shd w:val="clear"/>
        <w:snapToGrid w:val="0"/>
        <w:ind w:firstLine="487" w:firstLineChars="202"/>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b/>
          <w:bCs/>
          <w:color w:val="auto"/>
          <w:sz w:val="24"/>
          <w:szCs w:val="24"/>
          <w:highlight w:val="none"/>
        </w:rPr>
        <w:t>1.</w:t>
      </w:r>
      <w:r>
        <w:rPr>
          <w:rFonts w:hint="eastAsia" w:ascii="宋体" w:hAnsi="宋体" w:eastAsia="宋体" w:cs="宋体"/>
          <w:b/>
          <w:bCs/>
          <w:color w:val="auto"/>
          <w:sz w:val="24"/>
          <w:szCs w:val="24"/>
          <w:highlight w:val="none"/>
          <w:u w:val="none"/>
          <w:lang w:val="en-US" w:eastAsia="zh-CN"/>
        </w:rPr>
        <w:t>本项目</w:t>
      </w:r>
      <w:r>
        <w:rPr>
          <w:rFonts w:hint="eastAsia" w:ascii="宋体" w:hAnsi="宋体" w:eastAsia="宋体" w:cs="宋体"/>
          <w:b/>
          <w:color w:val="auto"/>
          <w:sz w:val="24"/>
          <w:szCs w:val="24"/>
          <w:highlight w:val="none"/>
          <w:u w:val="single"/>
          <w:lang w:val="en-US" w:eastAsia="zh-CN"/>
        </w:rPr>
        <w:t>最高限价：5万元；</w:t>
      </w:r>
      <w:r>
        <w:rPr>
          <w:rFonts w:hint="eastAsia" w:ascii="宋体" w:hAnsi="宋体" w:eastAsia="宋体" w:cs="宋体"/>
          <w:b/>
          <w:color w:val="auto"/>
          <w:sz w:val="24"/>
          <w:szCs w:val="24"/>
          <w:highlight w:val="none"/>
          <w:u w:val="none"/>
          <w:lang w:val="en-US" w:eastAsia="zh-CN"/>
        </w:rPr>
        <w:t>报价</w:t>
      </w:r>
      <w:r>
        <w:rPr>
          <w:rFonts w:hint="eastAsia" w:ascii="宋体" w:hAnsi="宋体" w:eastAsia="宋体" w:cs="宋体"/>
          <w:b/>
          <w:bCs/>
          <w:color w:val="auto"/>
          <w:sz w:val="24"/>
          <w:szCs w:val="24"/>
          <w:highlight w:val="none"/>
          <w:u w:val="none"/>
        </w:rPr>
        <w:t>超</w:t>
      </w:r>
      <w:r>
        <w:rPr>
          <w:rFonts w:hint="eastAsia" w:ascii="宋体" w:hAnsi="宋体" w:eastAsia="宋体" w:cs="宋体"/>
          <w:b/>
          <w:bCs/>
          <w:color w:val="auto"/>
          <w:sz w:val="24"/>
          <w:szCs w:val="24"/>
          <w:highlight w:val="none"/>
        </w:rPr>
        <w:t>过限价作</w:t>
      </w:r>
      <w:r>
        <w:rPr>
          <w:rFonts w:hint="eastAsia" w:ascii="宋体" w:hAnsi="宋体" w:eastAsia="宋体" w:cs="宋体"/>
          <w:b/>
          <w:bCs/>
          <w:color w:val="auto"/>
          <w:sz w:val="24"/>
          <w:szCs w:val="24"/>
          <w:highlight w:val="none"/>
          <w:lang w:eastAsia="zh-CN"/>
        </w:rPr>
        <w:t>无效</w:t>
      </w:r>
      <w:r>
        <w:rPr>
          <w:rFonts w:hint="eastAsia" w:ascii="宋体" w:hAnsi="宋体" w:eastAsia="宋体" w:cs="宋体"/>
          <w:b/>
          <w:bCs/>
          <w:color w:val="auto"/>
          <w:sz w:val="24"/>
          <w:szCs w:val="24"/>
          <w:highlight w:val="none"/>
          <w:lang w:val="en-US" w:eastAsia="zh-CN"/>
        </w:rPr>
        <w:t>响应</w:t>
      </w:r>
      <w:r>
        <w:rPr>
          <w:rFonts w:hint="eastAsia" w:ascii="宋体" w:hAnsi="宋体" w:eastAsia="宋体" w:cs="宋体"/>
          <w:b/>
          <w:bCs/>
          <w:color w:val="auto"/>
          <w:sz w:val="24"/>
          <w:szCs w:val="24"/>
          <w:highlight w:val="none"/>
        </w:rPr>
        <w:t>处理</w:t>
      </w:r>
      <w:r>
        <w:rPr>
          <w:rStyle w:val="43"/>
          <w:rFonts w:hint="eastAsia" w:ascii="宋体" w:hAnsi="宋体" w:eastAsia="宋体" w:cs="宋体"/>
          <w:b/>
          <w:bCs/>
          <w:color w:val="auto"/>
          <w:sz w:val="24"/>
          <w:szCs w:val="24"/>
          <w:highlight w:val="none"/>
          <w:lang w:eastAsia="zh-CN"/>
        </w:rPr>
        <w:t>。</w:t>
      </w:r>
    </w:p>
    <w:p w14:paraId="677CFA0B">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2.满足比选文件要求且报价最低的报价为评标基准价，其报价响应得分为满分。</w:t>
      </w:r>
    </w:p>
    <w:p w14:paraId="6F706DDE">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3.其他供应商的报价响应得分分别按照下列公式计算：</w:t>
      </w:r>
    </w:p>
    <w:p w14:paraId="4C94AE11">
      <w:pPr>
        <w:shd w:val="clear"/>
        <w:snapToGrid w:val="0"/>
        <w:ind w:firstLine="484" w:firstLineChars="202"/>
        <w:rPr>
          <w:rStyle w:val="43"/>
          <w:rFonts w:ascii="宋体" w:hAnsi="宋体" w:eastAsia="宋体" w:cs="宋体"/>
          <w:color w:val="auto"/>
          <w:highlight w:val="none"/>
        </w:rPr>
      </w:pPr>
      <w:r>
        <w:rPr>
          <w:rStyle w:val="43"/>
          <w:rFonts w:hint="eastAsia" w:ascii="宋体" w:hAnsi="宋体" w:eastAsia="宋体" w:cs="宋体"/>
          <w:color w:val="auto"/>
          <w:sz w:val="24"/>
          <w:szCs w:val="24"/>
          <w:highlight w:val="none"/>
        </w:rPr>
        <w:t>报价响应得分 =（评标基准价/投标报价）×30%×100</w:t>
      </w:r>
    </w:p>
    <w:p w14:paraId="6E31662C">
      <w:pPr>
        <w:shd w:val="clear"/>
        <w:snapToGrid w:val="0"/>
        <w:ind w:firstLine="482" w:firstLineChars="200"/>
        <w:rPr>
          <w:rStyle w:val="43"/>
          <w:rFonts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（三）评标争议</w:t>
      </w:r>
    </w:p>
    <w:p w14:paraId="7622783E">
      <w:pPr>
        <w:shd w:val="clear"/>
        <w:snapToGrid w:val="0"/>
        <w:ind w:firstLine="573"/>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评标时比选小组对评标的细则若有争议，由比选小组集体讨论确定，并对未尽情况有最终解释权。</w:t>
      </w:r>
    </w:p>
    <w:p w14:paraId="78C460F4">
      <w:pPr>
        <w:shd w:val="clear"/>
        <w:snapToGrid w:val="0"/>
        <w:ind w:firstLine="482" w:firstLineChars="200"/>
        <w:rPr>
          <w:rStyle w:val="43"/>
          <w:rFonts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（四）落标原因</w:t>
      </w:r>
    </w:p>
    <w:p w14:paraId="058FFCF1">
      <w:pPr>
        <w:shd w:val="clear"/>
        <w:snapToGrid w:val="0"/>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比选小组不对落标的供应商做落标原因的解释。</w:t>
      </w:r>
    </w:p>
    <w:p w14:paraId="2EFD8ADF">
      <w:pPr>
        <w:shd w:val="clear"/>
        <w:snapToGrid w:val="0"/>
        <w:ind w:firstLine="482" w:firstLineChars="200"/>
        <w:rPr>
          <w:rStyle w:val="43"/>
          <w:rFonts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九、出现下列情形之一的，作无效响应处理：</w:t>
      </w:r>
    </w:p>
    <w:p w14:paraId="5F1737B6">
      <w:pPr>
        <w:shd w:val="clear"/>
        <w:snapToGrid w:val="0"/>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1.响应文件未按比选文件要求密封、签署、盖章的；</w:t>
      </w:r>
    </w:p>
    <w:p w14:paraId="7244DAFB">
      <w:pPr>
        <w:shd w:val="clear"/>
        <w:snapToGrid w:val="0"/>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2.不具备比选文件中规定的资格要求的；</w:t>
      </w:r>
    </w:p>
    <w:p w14:paraId="7324C9AC">
      <w:pPr>
        <w:shd w:val="clear"/>
        <w:snapToGrid w:val="0"/>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3.报价超过比选文件中规定的预算金额或者最高限价的；</w:t>
      </w:r>
    </w:p>
    <w:p w14:paraId="46B93F89">
      <w:pPr>
        <w:shd w:val="clear"/>
        <w:snapToGrid w:val="0"/>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4.响应文件含有采购人不能接受的附加条件的；</w:t>
      </w:r>
    </w:p>
    <w:p w14:paraId="09781AFB">
      <w:pPr>
        <w:shd w:val="clear"/>
        <w:snapToGrid w:val="0"/>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5.法律、法规和比选文件规定的其他无效情形；</w:t>
      </w:r>
    </w:p>
    <w:p w14:paraId="599DF4ED">
      <w:pPr>
        <w:shd w:val="clea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rPr>
        <w:t>6.项目技术、方案不满足项目需求中的要求，有重大偏离或保留的</w:t>
      </w:r>
      <w:r>
        <w:rPr>
          <w:rStyle w:val="43"/>
          <w:rFonts w:hint="eastAsia" w:ascii="宋体" w:hAnsi="宋体" w:eastAsia="宋体" w:cs="宋体"/>
          <w:color w:val="auto"/>
          <w:sz w:val="24"/>
          <w:szCs w:val="24"/>
          <w:highlight w:val="none"/>
          <w:lang w:eastAsia="zh-CN"/>
        </w:rPr>
        <w:t>；</w:t>
      </w:r>
    </w:p>
    <w:p w14:paraId="19CD0582">
      <w:pPr>
        <w:shd w:val="clear"/>
        <w:snapToGrid w:val="0"/>
        <w:ind w:firstLine="480" w:firstLineChars="200"/>
        <w:rPr>
          <w:rStyle w:val="43"/>
          <w:rFonts w:ascii="宋体" w:hAnsi="宋体" w:eastAsia="宋体" w:cs="宋体"/>
          <w:b/>
          <w:color w:val="auto"/>
          <w:sz w:val="24"/>
          <w:szCs w:val="24"/>
          <w:highlight w:val="none"/>
        </w:rPr>
      </w:pPr>
      <w:r>
        <w:rPr>
          <w:rStyle w:val="43"/>
          <w:rFonts w:hint="eastAsia" w:ascii="宋体" w:hAnsi="宋体" w:eastAsia="宋体" w:cs="宋体"/>
          <w:color w:val="auto"/>
          <w:sz w:val="24"/>
          <w:szCs w:val="24"/>
          <w:highlight w:val="none"/>
        </w:rPr>
        <w:t>7.供应商的商务技术部分得分相差悬殊，比选小组一致认为得分畸低者没有实质性响应的。</w:t>
      </w:r>
    </w:p>
    <w:p w14:paraId="5825B476">
      <w:pPr>
        <w:shd w:val="clear"/>
        <w:snapToGrid w:val="0"/>
        <w:ind w:firstLine="482" w:firstLineChars="200"/>
        <w:rPr>
          <w:rStyle w:val="43"/>
          <w:rFonts w:ascii="宋体" w:hAnsi="宋体" w:eastAsia="宋体" w:cs="宋体"/>
          <w:color w:val="auto"/>
          <w:sz w:val="24"/>
          <w:szCs w:val="24"/>
          <w:highlight w:val="none"/>
        </w:rPr>
      </w:pPr>
      <w:r>
        <w:rPr>
          <w:rStyle w:val="43"/>
          <w:rFonts w:hint="eastAsia" w:ascii="宋体" w:hAnsi="宋体" w:eastAsia="宋体" w:cs="宋体"/>
          <w:b/>
          <w:color w:val="auto"/>
          <w:sz w:val="24"/>
          <w:szCs w:val="24"/>
          <w:highlight w:val="none"/>
        </w:rPr>
        <w:t>十、有下列情形之一的，视为供应商串通参与投标，其比选响应无效</w:t>
      </w:r>
    </w:p>
    <w:p w14:paraId="1EFE5B73">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1.不同供应商的响应文件由同一单位或者个人编制；</w:t>
      </w:r>
    </w:p>
    <w:p w14:paraId="0FDE341F">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2.不同供应商委托同一单位或者个人办理投标事宜；</w:t>
      </w:r>
    </w:p>
    <w:p w14:paraId="02AEF397">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3.不同供应商的响应文件载明的项目管理成员或者联系人员为同一人；</w:t>
      </w:r>
    </w:p>
    <w:p w14:paraId="7274C16B">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4.不同供应商的响应文件异常一致或者报价呈规律性差异；</w:t>
      </w:r>
    </w:p>
    <w:p w14:paraId="7DF19DAA">
      <w:pPr>
        <w:shd w:val="clear"/>
        <w:snapToGrid w:val="0"/>
        <w:ind w:firstLine="484" w:firstLineChars="202"/>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5.不同供应商的响应文件相互混装；</w:t>
      </w:r>
    </w:p>
    <w:p w14:paraId="138EB693">
      <w:pPr>
        <w:shd w:val="clear"/>
        <w:snapToGrid w:val="0"/>
        <w:ind w:firstLine="482" w:firstLineChars="200"/>
        <w:rPr>
          <w:rStyle w:val="43"/>
          <w:rFonts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十一、出现下列情形之一的，作废标处理：</w:t>
      </w:r>
    </w:p>
    <w:p w14:paraId="1C236205">
      <w:pPr>
        <w:shd w:val="clear"/>
        <w:snapToGrid w:val="0"/>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1.出现影响采购公正的违法违规行为的；</w:t>
      </w:r>
    </w:p>
    <w:p w14:paraId="72759426">
      <w:pPr>
        <w:shd w:val="clear"/>
        <w:snapToGrid w:val="0"/>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2.所有供应商报价超出采购预算价的；</w:t>
      </w:r>
    </w:p>
    <w:p w14:paraId="22987B32">
      <w:pPr>
        <w:shd w:val="clear"/>
        <w:snapToGrid w:val="0"/>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3.因重大变故，采购任务被取消的；</w:t>
      </w:r>
    </w:p>
    <w:p w14:paraId="5D7D6A76">
      <w:pPr>
        <w:shd w:val="clear"/>
        <w:snapToGrid w:val="0"/>
        <w:ind w:firstLine="480" w:firstLineChars="200"/>
        <w:rPr>
          <w:rStyle w:val="43"/>
          <w:rFonts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4.比选小组依据法律法规可以认定为废标的其他情况。</w:t>
      </w:r>
    </w:p>
    <w:p w14:paraId="653B5E1F">
      <w:pPr>
        <w:shd w:val="clear"/>
        <w:snapToGrid w:val="0"/>
        <w:ind w:firstLine="482" w:firstLineChars="200"/>
        <w:rPr>
          <w:rStyle w:val="43"/>
          <w:rFonts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十二、中选通知</w:t>
      </w:r>
    </w:p>
    <w:p w14:paraId="58C1BBD0">
      <w:pPr>
        <w:shd w:val="clear"/>
        <w:snapToGrid w:val="0"/>
        <w:ind w:firstLine="484" w:firstLineChars="202"/>
        <w:rPr>
          <w:rStyle w:val="43"/>
          <w:rFonts w:ascii="宋体" w:hAnsi="宋体" w:eastAsia="宋体" w:cs="宋体"/>
          <w:color w:val="auto"/>
          <w:kern w:val="0"/>
          <w:sz w:val="24"/>
          <w:szCs w:val="24"/>
          <w:highlight w:val="none"/>
        </w:rPr>
      </w:pPr>
      <w:r>
        <w:rPr>
          <w:rStyle w:val="43"/>
          <w:rFonts w:hint="eastAsia" w:ascii="宋体" w:hAnsi="宋体" w:eastAsia="宋体" w:cs="宋体"/>
          <w:color w:val="auto"/>
          <w:kern w:val="0"/>
          <w:sz w:val="24"/>
          <w:szCs w:val="24"/>
          <w:highlight w:val="none"/>
        </w:rPr>
        <w:t>1.开标结束后，采购人自中选供应商确定之日起2个工作日内在指定媒体上通告中选结果。</w:t>
      </w:r>
    </w:p>
    <w:p w14:paraId="13185008">
      <w:pPr>
        <w:shd w:val="clear"/>
        <w:snapToGrid w:val="0"/>
        <w:ind w:firstLine="484" w:firstLineChars="202"/>
        <w:rPr>
          <w:rStyle w:val="43"/>
          <w:rFonts w:ascii="宋体" w:hAnsi="宋体" w:eastAsia="宋体" w:cs="宋体"/>
          <w:color w:val="auto"/>
          <w:kern w:val="0"/>
          <w:sz w:val="24"/>
          <w:szCs w:val="24"/>
          <w:highlight w:val="none"/>
        </w:rPr>
      </w:pPr>
      <w:r>
        <w:rPr>
          <w:rStyle w:val="43"/>
          <w:rFonts w:hint="eastAsia" w:ascii="宋体" w:hAnsi="宋体" w:eastAsia="宋体" w:cs="宋体"/>
          <w:color w:val="auto"/>
          <w:kern w:val="0"/>
          <w:sz w:val="24"/>
          <w:szCs w:val="24"/>
          <w:highlight w:val="none"/>
        </w:rPr>
        <w:t>2.中选通告期限为1个工作日。</w:t>
      </w:r>
    </w:p>
    <w:p w14:paraId="7417C3EE">
      <w:pPr>
        <w:shd w:val="clear"/>
        <w:snapToGrid w:val="0"/>
        <w:ind w:firstLine="484" w:firstLineChars="202"/>
        <w:rPr>
          <w:rStyle w:val="43"/>
          <w:rFonts w:ascii="宋体" w:hAnsi="宋体" w:eastAsia="宋体" w:cs="宋体"/>
          <w:b/>
          <w:bCs/>
          <w:color w:val="auto"/>
          <w:kern w:val="0"/>
          <w:sz w:val="24"/>
          <w:szCs w:val="24"/>
          <w:highlight w:val="none"/>
        </w:rPr>
      </w:pPr>
      <w:r>
        <w:rPr>
          <w:rStyle w:val="43"/>
          <w:rFonts w:hint="eastAsia" w:ascii="宋体" w:hAnsi="宋体" w:eastAsia="宋体" w:cs="宋体"/>
          <w:color w:val="auto"/>
          <w:kern w:val="0"/>
          <w:sz w:val="24"/>
          <w:szCs w:val="24"/>
          <w:highlight w:val="none"/>
        </w:rPr>
        <w:t>3.《中选通知书》一经发出，即具有法律效力。采购人、中选供应商依法承担法律责任。</w:t>
      </w:r>
      <w:r>
        <w:rPr>
          <w:rStyle w:val="43"/>
          <w:rFonts w:hint="eastAsia" w:ascii="宋体" w:hAnsi="宋体" w:eastAsia="宋体" w:cs="宋体"/>
          <w:b/>
          <w:bCs/>
          <w:color w:val="auto"/>
          <w:kern w:val="0"/>
          <w:sz w:val="24"/>
          <w:szCs w:val="24"/>
          <w:highlight w:val="none"/>
        </w:rPr>
        <w:t xml:space="preserve"> </w:t>
      </w:r>
    </w:p>
    <w:p w14:paraId="22921EED">
      <w:pPr>
        <w:shd w:val="clear"/>
        <w:rPr>
          <w:rStyle w:val="43"/>
          <w:rFonts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br w:type="page"/>
      </w:r>
    </w:p>
    <w:p w14:paraId="5D4CED48">
      <w:pPr>
        <w:shd w:val="clear"/>
        <w:snapToGrid w:val="0"/>
        <w:jc w:val="center"/>
        <w:rPr>
          <w:rStyle w:val="43"/>
          <w:rFonts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第五章  合同授予</w:t>
      </w:r>
    </w:p>
    <w:p w14:paraId="17B17C3A">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一、</w:t>
      </w:r>
      <w:r>
        <w:rPr>
          <w:rStyle w:val="43"/>
          <w:rFonts w:hint="eastAsia" w:ascii="宋体" w:hAnsi="宋体" w:eastAsia="宋体" w:cs="宋体"/>
          <w:bCs/>
          <w:color w:val="auto"/>
          <w:sz w:val="24"/>
          <w:szCs w:val="24"/>
          <w:highlight w:val="none"/>
        </w:rPr>
        <w:t>自中选通知书发出之日起30日内，中选供应商凭“中选通知书”与采购人签订合同。合同一式四份，采购人、供应商各贰份</w:t>
      </w:r>
      <w:r>
        <w:rPr>
          <w:rStyle w:val="43"/>
          <w:rFonts w:hint="eastAsia" w:ascii="宋体" w:hAnsi="宋体" w:eastAsia="宋体" w:cs="宋体"/>
          <w:color w:val="auto"/>
          <w:sz w:val="24"/>
          <w:szCs w:val="21"/>
          <w:highlight w:val="none"/>
        </w:rPr>
        <w:t>。所签合同不得对采购文件作实质性修改。采购人不得向中选供应商提出不合理的要求作为签订合同的条件，不得与中选供应商私下订立背离采购文件实质性内容的协议。</w:t>
      </w:r>
    </w:p>
    <w:p w14:paraId="6A58106B">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二、采购人按合同约定积极配合中选供应商履约，中选供应商履约到位后，请以书面形式向采购人提出验收申请，采购人接到申请后原则上在5个工作日内及时组织相关专业技术人员，必要时邀请质检等部门共同参与验收，并出具验收报告，作为支付货款的依据。</w:t>
      </w:r>
    </w:p>
    <w:p w14:paraId="1CF875A0">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三、采购人故意推迟项目验收时间的，与中选供应商串通或要求中选供应商通过减少货物数量或降低服务标准的，在履行合同中采取更改配置、调换物品等手段的，要求中选供应商出具虚假发票或任意更改销售发票的，谋取不正当利益的，承担相应的法律责任。</w:t>
      </w:r>
    </w:p>
    <w:p w14:paraId="47CEB4C6">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四、中选供应商出现违约情形，应当及时纠正或补偿；造成损失的，按合同约定追究违约责任；发现有假冒、伪劣、走私产品、商业贿赂等违法情形的，应由采购人移交工商、质监、公安等行政执法部门依法查处。</w:t>
      </w:r>
    </w:p>
    <w:p w14:paraId="2EC057B3">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五、按采购合同约定支付的货款。</w:t>
      </w:r>
    </w:p>
    <w:p w14:paraId="22FA2007">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六、不响应付款方式的，视同响应文件无效，按无效响应文件处理。</w:t>
      </w:r>
    </w:p>
    <w:p w14:paraId="0648D594">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七、付款方式详见比选文件第三章，以上项目款的支付不计息。</w:t>
      </w:r>
    </w:p>
    <w:p w14:paraId="3D00DFEC">
      <w:pPr>
        <w:shd w:val="clear"/>
        <w:snapToGrid w:val="0"/>
        <w:spacing w:line="500" w:lineRule="exact"/>
        <w:ind w:firstLine="480" w:firstLineChars="200"/>
        <w:rPr>
          <w:rStyle w:val="43"/>
          <w:rFonts w:ascii="宋体" w:hAnsi="宋体" w:eastAsia="宋体" w:cs="宋体"/>
          <w:color w:val="auto"/>
          <w:sz w:val="24"/>
          <w:szCs w:val="21"/>
          <w:highlight w:val="none"/>
        </w:rPr>
      </w:pPr>
    </w:p>
    <w:p w14:paraId="6DAE24A6">
      <w:pPr>
        <w:shd w:val="clear"/>
        <w:snapToGrid w:val="0"/>
        <w:spacing w:line="500" w:lineRule="exact"/>
        <w:ind w:firstLine="420" w:firstLineChars="200"/>
        <w:rPr>
          <w:rStyle w:val="43"/>
          <w:rFonts w:ascii="宋体" w:hAnsi="宋体" w:eastAsia="宋体" w:cs="宋体"/>
          <w:color w:val="auto"/>
          <w:sz w:val="21"/>
          <w:szCs w:val="21"/>
          <w:highlight w:val="none"/>
        </w:rPr>
      </w:pPr>
    </w:p>
    <w:p w14:paraId="5EF9D2C6">
      <w:pPr>
        <w:pStyle w:val="79"/>
        <w:shd w:val="clear"/>
        <w:snapToGrid w:val="0"/>
        <w:rPr>
          <w:rStyle w:val="43"/>
          <w:rFonts w:ascii="宋体" w:hAnsi="宋体" w:eastAsia="宋体" w:cs="宋体"/>
          <w:color w:val="auto"/>
          <w:highlight w:val="none"/>
        </w:rPr>
      </w:pPr>
    </w:p>
    <w:p w14:paraId="1F2E09B5">
      <w:pPr>
        <w:shd w:val="clear"/>
        <w:snapToGrid w:val="0"/>
        <w:spacing w:line="500" w:lineRule="exact"/>
        <w:ind w:firstLine="579" w:firstLineChars="200"/>
        <w:jc w:val="center"/>
        <w:rPr>
          <w:rStyle w:val="43"/>
          <w:rFonts w:ascii="宋体" w:hAnsi="宋体" w:eastAsia="宋体" w:cs="宋体"/>
          <w:b/>
          <w:color w:val="auto"/>
          <w:w w:val="80"/>
          <w:kern w:val="44"/>
          <w:sz w:val="36"/>
          <w:szCs w:val="36"/>
          <w:highlight w:val="none"/>
        </w:rPr>
      </w:pPr>
    </w:p>
    <w:p w14:paraId="4F722404">
      <w:pPr>
        <w:shd w:val="clear"/>
        <w:rPr>
          <w:rStyle w:val="43"/>
          <w:rFonts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br w:type="page"/>
      </w:r>
    </w:p>
    <w:p w14:paraId="2D33E909">
      <w:pPr>
        <w:shd w:val="clear"/>
        <w:snapToGrid w:val="0"/>
        <w:spacing w:line="500" w:lineRule="exact"/>
        <w:ind w:firstLine="579" w:firstLineChars="200"/>
        <w:jc w:val="center"/>
        <w:rPr>
          <w:rStyle w:val="43"/>
          <w:rFonts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第六章  质疑与投诉</w:t>
      </w:r>
    </w:p>
    <w:p w14:paraId="485D3178">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一、质疑的提出</w:t>
      </w:r>
    </w:p>
    <w:p w14:paraId="4F6C80A3">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1.质疑人必须是直接参加本次比选活动的当事人。</w:t>
      </w:r>
    </w:p>
    <w:p w14:paraId="0093E487">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2.获取比选文件的供应商应根据第二章“供应商须知”中第一条第4款的约定提出；响应文件接收截止后，供应商未进行比选响应登记的，不能就响应文件接收截止后的采购过程、中选结果提出质疑；在比选过程中，凡主持人或评标小组明确提出须由供应商确认的事项，供应商当场无异议的，事后不得提出质疑。</w:t>
      </w:r>
    </w:p>
    <w:p w14:paraId="04C75213">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3.提出质疑时，必须坚持“谁主张，谁举证”“实事求是”的原则，不能臆测。属于须由法定部门调查、侦查或先行作出相关认定的事项，质疑人应当依法申请具有法定职权的部门查清、认定，并将相关结果提供给采购人。采购人不具有法定调查、认定权限。</w:t>
      </w:r>
    </w:p>
    <w:p w14:paraId="27C5CAA6">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4.对本次采购有质疑的，实行实名制，不得进行虚假、恶意质疑。质疑人应在质疑有效期内以书面形式提出《质疑函》《质疑函》内容应包括质疑事项、主要内容、事实依据、适应法规条款、佐证材料等。同时，质疑人应保证其提出的质疑内容及相关佐证材料的真实性及来源的合法性，并承担相应的法律责任。</w:t>
      </w:r>
    </w:p>
    <w:p w14:paraId="0849CA8D">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对不能提供相关佐证材料的、涉及商业秘密的、非书面形式的、非送达的、匿名的《质疑函》将不予受理。</w:t>
      </w:r>
    </w:p>
    <w:p w14:paraId="58A3284A">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相关佐证材料要具备客观性、关联性、合法性，无法查实的（如宣传册、媒体报道、猜测、推理等）不能作为佐证材料。</w:t>
      </w:r>
    </w:p>
    <w:p w14:paraId="3AA19E7D">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采购人不负责搜集相关佐证材料等工作。</w:t>
      </w:r>
    </w:p>
    <w:p w14:paraId="73BD8ED7">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二、《质疑函》的受理和回复</w:t>
      </w:r>
    </w:p>
    <w:p w14:paraId="12A2580A">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1.《质疑函》须由质疑人的法定代表人或参加本次比选授权人送达采购人。</w:t>
      </w:r>
    </w:p>
    <w:p w14:paraId="4ADD2041">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2.对符合提出质疑要求的，采购人签收并出具《质疑受理通知书》。在处理过程中，发现需要质疑人进一步补充相关佐证材料的，请质疑人在规定的时间内提供，质疑回复时间相应顺延。质疑人不能按时提供相关佐证材料的，视同放弃质疑。</w:t>
      </w:r>
    </w:p>
    <w:p w14:paraId="655B35D8">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3.对不符合提出质疑要求的，出具《质疑退回通知书》并提出相关补充材料要求，质疑人未在规定的时间内提供补充佐证材料的，视同放弃质疑。</w:t>
      </w:r>
    </w:p>
    <w:p w14:paraId="79A7CBCE">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4.采购单位负责将质疑人提出的质疑相关材料提供给相关专家或评标小组审核，并将审核意见回复质疑人。</w:t>
      </w:r>
    </w:p>
    <w:p w14:paraId="2A5B881D">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必要时，可向被质疑人转发《质疑函》及相关佐证材料。被质疑人应当在要求的时间日内，以书面形式作出说明，并提交相关证据。被质疑人在规定时间内，无正当理由未提交相关证据的，视同放弃说明权利，认可被质疑事项。</w:t>
      </w:r>
    </w:p>
    <w:p w14:paraId="605CE226">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5.因质疑情况复杂，组织论证或审查时间较长的，采购单位以书面形式通知质疑人，可适当延长质疑回复处理时间。</w:t>
      </w:r>
    </w:p>
    <w:p w14:paraId="3229D6D4">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三、质疑处理</w:t>
      </w:r>
    </w:p>
    <w:p w14:paraId="2D900D96">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1.质疑成立的处理。采购单位终止采购，并建议有关部门给相关当事人予以处理。</w:t>
      </w:r>
    </w:p>
    <w:p w14:paraId="2D05FD07">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2.质疑不成立的处理。</w:t>
      </w:r>
    </w:p>
    <w:p w14:paraId="7F51C031">
      <w:pPr>
        <w:shd w:val="clear"/>
        <w:snapToGrid w:val="0"/>
        <w:spacing w:line="500" w:lineRule="exact"/>
        <w:ind w:firstLine="480" w:firstLineChars="20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（1）质疑人书面《申请撤回质疑函》的，不作违约处理。</w:t>
      </w:r>
    </w:p>
    <w:p w14:paraId="6364497C">
      <w:pPr>
        <w:shd w:val="clear"/>
        <w:snapToGrid w:val="0"/>
        <w:spacing w:line="500" w:lineRule="exact"/>
        <w:ind w:firstLine="480" w:firstLineChars="20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（2）质疑人在规定的时间内不配合进行质疑调查处理的，按自动撤回《质疑函》处理。</w:t>
      </w:r>
    </w:p>
    <w:p w14:paraId="03B25AD1">
      <w:pPr>
        <w:shd w:val="clear"/>
        <w:snapToGrid w:val="0"/>
        <w:spacing w:line="500" w:lineRule="exact"/>
        <w:ind w:firstLine="480" w:firstLineChars="20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（3）质疑人不按《质疑函》格式就提出质疑的，作违约处理。同时，视情列入不良供应商名单。</w:t>
      </w:r>
    </w:p>
    <w:p w14:paraId="41F03815">
      <w:pPr>
        <w:shd w:val="clear"/>
        <w:snapToGrid w:val="0"/>
        <w:spacing w:line="500" w:lineRule="exact"/>
        <w:ind w:firstLine="480" w:firstLineChars="20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（4）质疑人虽提供了相关佐证材料，但不能证明其质疑成立的，采购单位请质疑人补充相关佐证材料，仍不能证明其质疑成立的，作违约处理。并将其列入不良供应商名单。</w:t>
      </w:r>
    </w:p>
    <w:p w14:paraId="1E474CC0">
      <w:pPr>
        <w:shd w:val="clear"/>
        <w:snapToGrid w:val="0"/>
        <w:spacing w:line="500" w:lineRule="exact"/>
        <w:ind w:firstLine="480" w:firstLineChars="20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（5）质疑人不能提供相关佐证材料的，采购单位已指出，质疑人仍然坚持提出质疑的，作违约处理。同时，列入不良供应商名单。</w:t>
      </w:r>
    </w:p>
    <w:p w14:paraId="18882AF3">
      <w:pPr>
        <w:shd w:val="clear"/>
        <w:snapToGrid w:val="0"/>
        <w:spacing w:line="500" w:lineRule="exact"/>
        <w:ind w:firstLine="480" w:firstLineChars="20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6）对明显有违事实的、经相关专家或评标小组认定无依据的、经其他供应商举证无依据的质疑，作违约处理，列入不良供应商名单；同时，对其中每一项不成立的质疑给予质疑人1年内禁入本区域内的采购活动的违约处理，依次类推；视情在相关媒体予以披露。</w:t>
      </w:r>
    </w:p>
    <w:p w14:paraId="790B5AD3">
      <w:pPr>
        <w:shd w:val="clear"/>
        <w:snapToGrid w:val="0"/>
        <w:spacing w:line="500" w:lineRule="exact"/>
        <w:ind w:firstLine="480" w:firstLineChars="20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（7）质疑人承担使用虚假材料或恶意方式质疑的法律责任。</w:t>
      </w:r>
    </w:p>
    <w:p w14:paraId="0EBD563A">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四、无佐证材料的举报作违约处理。供应商不得进行不提供相关佐证材料（含无法查实的如宣传册、媒体报道、猜测、推理等）向有关部门的举报，否则作违约处理。同时对其在1至3年内禁入由采购人组织的采购活动的违约处理。</w:t>
      </w:r>
    </w:p>
    <w:p w14:paraId="67212C03">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五、投诉不成立的作违约处理。供应商进行质疑后，采购人回复质疑不成立，供应商仍进行投诉的，并最终投诉不成立的，作违约处理。采购人有权对其在1至3年内禁入由采购人组织的采购活动的违约处理。</w:t>
      </w:r>
    </w:p>
    <w:p w14:paraId="553F17D2">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六、《质疑函》《质疑回复函》，质疑、举报、投诉不成立的等相关情况，视情在相关媒体予以披露。</w:t>
      </w:r>
    </w:p>
    <w:p w14:paraId="407D21F1">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七、质疑供应商对采购人的答复不满意或者采购人未在规定的时间内作出答复的，可以在答复期满后15个工作日内向监督管理部门投诉。</w:t>
      </w:r>
    </w:p>
    <w:p w14:paraId="0F738179">
      <w:pPr>
        <w:shd w:val="clear"/>
        <w:snapToGrid w:val="0"/>
        <w:ind w:firstLine="579" w:firstLineChars="200"/>
        <w:jc w:val="center"/>
        <w:rPr>
          <w:rStyle w:val="43"/>
          <w:rFonts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br w:type="page"/>
      </w:r>
      <w:r>
        <w:rPr>
          <w:rStyle w:val="43"/>
          <w:rFonts w:hint="eastAsia" w:ascii="宋体" w:hAnsi="宋体" w:eastAsia="宋体" w:cs="宋体"/>
          <w:b/>
          <w:color w:val="auto"/>
          <w:w w:val="80"/>
          <w:kern w:val="44"/>
          <w:sz w:val="36"/>
          <w:szCs w:val="36"/>
          <w:highlight w:val="none"/>
        </w:rPr>
        <w:t>第七章  比选响应文件组成及格式</w:t>
      </w:r>
    </w:p>
    <w:p w14:paraId="03D73471">
      <w:pPr>
        <w:shd w:val="clear"/>
        <w:snapToGrid w:val="0"/>
        <w:ind w:firstLine="482" w:firstLineChars="200"/>
        <w:jc w:val="left"/>
        <w:rPr>
          <w:rStyle w:val="43"/>
          <w:rFonts w:ascii="宋体" w:hAnsi="宋体" w:eastAsia="宋体" w:cs="宋体"/>
          <w:b/>
          <w:color w:val="auto"/>
          <w:sz w:val="24"/>
          <w:szCs w:val="21"/>
          <w:highlight w:val="none"/>
        </w:rPr>
      </w:pPr>
      <w:r>
        <w:rPr>
          <w:rStyle w:val="43"/>
          <w:rFonts w:hint="eastAsia" w:ascii="宋体" w:hAnsi="宋体" w:eastAsia="宋体" w:cs="宋体"/>
          <w:b/>
          <w:bCs/>
          <w:color w:val="auto"/>
          <w:sz w:val="24"/>
          <w:szCs w:val="24"/>
          <w:highlight w:val="none"/>
        </w:rPr>
        <w:t>供应商应依照规定提交各类声明函、承诺函，不再同时提供原件备查或提供有关部门出具的相关证明文件。但中选供应商应做好提交声明函、承诺函相应原件的核查准备；核查后发现虚假或违背承诺的，依照相关法律法规规定处理。</w:t>
      </w:r>
    </w:p>
    <w:p w14:paraId="35760565">
      <w:pPr>
        <w:shd w:val="clear"/>
        <w:snapToGrid w:val="0"/>
        <w:ind w:firstLine="482" w:firstLineChars="200"/>
        <w:jc w:val="left"/>
        <w:rPr>
          <w:rStyle w:val="43"/>
          <w:rFonts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rPr>
        <w:t>一、响应文件组成</w:t>
      </w:r>
    </w:p>
    <w:p w14:paraId="1E72B6D2">
      <w:pPr>
        <w:pStyle w:val="96"/>
        <w:shd w:val="clear"/>
        <w:snapToGrid w:val="0"/>
        <w:spacing w:line="360" w:lineRule="auto"/>
        <w:ind w:left="0" w:firstLine="480"/>
        <w:rPr>
          <w:rStyle w:val="43"/>
          <w:rFonts w:ascii="宋体" w:hAnsi="宋体" w:eastAsia="宋体" w:cs="宋体"/>
          <w:color w:val="auto"/>
          <w:szCs w:val="24"/>
          <w:highlight w:val="none"/>
        </w:rPr>
      </w:pPr>
      <w:r>
        <w:rPr>
          <w:rStyle w:val="43"/>
          <w:rFonts w:hint="eastAsia" w:ascii="宋体" w:hAnsi="宋体" w:eastAsia="宋体" w:cs="宋体"/>
          <w:color w:val="auto"/>
          <w:szCs w:val="24"/>
          <w:highlight w:val="none"/>
        </w:rPr>
        <w:t>响应文件由资格审查文件、商务技术响应文件、报价响应文件</w:t>
      </w:r>
      <w:r>
        <w:rPr>
          <w:rStyle w:val="43"/>
          <w:rFonts w:hint="eastAsia" w:ascii="宋体" w:hAnsi="宋体" w:eastAsia="宋体" w:cs="宋体"/>
          <w:color w:val="auto"/>
          <w:szCs w:val="24"/>
          <w:highlight w:val="none"/>
          <w:lang w:val="en-US" w:eastAsia="zh-CN"/>
        </w:rPr>
        <w:t>三</w:t>
      </w:r>
      <w:r>
        <w:rPr>
          <w:rStyle w:val="43"/>
          <w:rFonts w:hint="eastAsia" w:ascii="宋体" w:hAnsi="宋体" w:eastAsia="宋体" w:cs="宋体"/>
          <w:color w:val="auto"/>
          <w:szCs w:val="24"/>
          <w:highlight w:val="none"/>
        </w:rPr>
        <w:t>部分组成。本次比选应采用资格后审方式，供应商须将资格审查文件作为响应文件组成部分，按比选文件要求装订密封后一起递交。</w:t>
      </w:r>
    </w:p>
    <w:p w14:paraId="1A24DB3C">
      <w:pPr>
        <w:pStyle w:val="96"/>
        <w:shd w:val="clear"/>
        <w:snapToGrid w:val="0"/>
        <w:spacing w:line="360" w:lineRule="auto"/>
        <w:ind w:left="0" w:firstLine="522"/>
        <w:rPr>
          <w:rStyle w:val="43"/>
          <w:rFonts w:ascii="宋体" w:hAnsi="宋体" w:eastAsia="宋体" w:cs="宋体"/>
          <w:b/>
          <w:color w:val="auto"/>
          <w:sz w:val="26"/>
          <w:szCs w:val="21"/>
          <w:highlight w:val="none"/>
        </w:rPr>
      </w:pPr>
      <w:r>
        <w:rPr>
          <w:rStyle w:val="43"/>
          <w:rFonts w:hint="eastAsia" w:ascii="宋体" w:hAnsi="宋体" w:eastAsia="宋体" w:cs="宋体"/>
          <w:b/>
          <w:color w:val="auto"/>
          <w:sz w:val="26"/>
          <w:szCs w:val="21"/>
          <w:highlight w:val="none"/>
        </w:rPr>
        <w:t>（一）资格审查文件（单独装订密封）</w:t>
      </w:r>
    </w:p>
    <w:p w14:paraId="574A57A3">
      <w:pPr>
        <w:shd w:val="clear"/>
        <w:snapToGrid w:val="0"/>
        <w:ind w:firstLine="480" w:firstLineChars="200"/>
        <w:rPr>
          <w:rStyle w:val="43"/>
          <w:rFonts w:ascii="宋体" w:hAnsi="宋体" w:eastAsia="宋体" w:cs="宋体"/>
          <w:bCs/>
          <w:color w:val="auto"/>
          <w:sz w:val="24"/>
          <w:szCs w:val="24"/>
          <w:highlight w:val="none"/>
        </w:rPr>
      </w:pPr>
      <w:r>
        <w:rPr>
          <w:rStyle w:val="43"/>
          <w:rFonts w:hint="eastAsia" w:ascii="宋体" w:hAnsi="宋体" w:eastAsia="宋体" w:cs="宋体"/>
          <w:bCs/>
          <w:color w:val="auto"/>
          <w:sz w:val="24"/>
          <w:szCs w:val="24"/>
          <w:highlight w:val="none"/>
        </w:rPr>
        <w:t>1.供应商提供有效的营业执照等具有独立承担民事责任能力的证明材料复印件。</w:t>
      </w:r>
    </w:p>
    <w:p w14:paraId="7D941BF6">
      <w:pPr>
        <w:shd w:val="clear"/>
        <w:snapToGrid w:val="0"/>
        <w:ind w:firstLine="480" w:firstLineChars="200"/>
        <w:rPr>
          <w:rStyle w:val="43"/>
          <w:rFonts w:ascii="宋体" w:hAnsi="宋体" w:eastAsia="宋体" w:cs="宋体"/>
          <w:color w:val="auto"/>
          <w:kern w:val="0"/>
          <w:sz w:val="24"/>
          <w:szCs w:val="24"/>
          <w:highlight w:val="none"/>
        </w:rPr>
      </w:pPr>
      <w:r>
        <w:rPr>
          <w:rStyle w:val="43"/>
          <w:rFonts w:hint="eastAsia" w:ascii="宋体" w:hAnsi="宋体" w:eastAsia="宋体" w:cs="宋体"/>
          <w:color w:val="auto"/>
          <w:sz w:val="24"/>
          <w:szCs w:val="24"/>
          <w:highlight w:val="none"/>
        </w:rPr>
        <w:t>2.供应商法定代表人参加比选的，必须提供</w:t>
      </w:r>
      <w:r>
        <w:rPr>
          <w:rStyle w:val="43"/>
          <w:rFonts w:hint="eastAsia" w:ascii="宋体" w:hAnsi="宋体" w:eastAsia="宋体" w:cs="宋体"/>
          <w:color w:val="auto"/>
          <w:kern w:val="0"/>
          <w:sz w:val="24"/>
          <w:szCs w:val="24"/>
          <w:highlight w:val="none"/>
        </w:rPr>
        <w:t>法定代表人身份证明及法定代表人本人身份证复印件；非法定代表人参加比选的，必须提供法定代表人签名或盖章的授权委托书及法定代表人和被授权人两个人的身份证复印件（格式参见第七章）。</w:t>
      </w:r>
    </w:p>
    <w:p w14:paraId="6AFD2048">
      <w:pPr>
        <w:shd w:val="clear"/>
        <w:snapToGrid w:val="0"/>
        <w:ind w:firstLine="480" w:firstLineChars="200"/>
        <w:rPr>
          <w:rStyle w:val="43"/>
          <w:rFonts w:ascii="宋体" w:hAnsi="宋体" w:eastAsia="宋体" w:cs="宋体"/>
          <w:bCs/>
          <w:color w:val="auto"/>
          <w:sz w:val="24"/>
          <w:szCs w:val="24"/>
          <w:highlight w:val="none"/>
        </w:rPr>
      </w:pPr>
      <w:r>
        <w:rPr>
          <w:rStyle w:val="43"/>
          <w:rFonts w:hint="eastAsia" w:ascii="宋体" w:hAnsi="宋体" w:eastAsia="宋体" w:cs="宋体"/>
          <w:bCs/>
          <w:color w:val="auto"/>
          <w:sz w:val="24"/>
          <w:szCs w:val="24"/>
          <w:highlight w:val="none"/>
        </w:rPr>
        <w:t>3.供应商须提供参与本次项目采购活动前三年内，在经营活动中没有重大违法记录的书面《无重大违法记录声明函》（格式参见第七章）。</w:t>
      </w:r>
    </w:p>
    <w:p w14:paraId="4F075FBB">
      <w:pPr>
        <w:pStyle w:val="96"/>
        <w:shd w:val="clear"/>
        <w:snapToGrid w:val="0"/>
        <w:spacing w:line="360" w:lineRule="auto"/>
        <w:ind w:left="0" w:firstLine="480"/>
        <w:rPr>
          <w:rStyle w:val="43"/>
          <w:rFonts w:ascii="宋体" w:hAnsi="宋体" w:eastAsia="宋体" w:cs="宋体"/>
          <w:bCs/>
          <w:color w:val="auto"/>
          <w:szCs w:val="24"/>
          <w:highlight w:val="none"/>
        </w:rPr>
      </w:pPr>
      <w:r>
        <w:rPr>
          <w:rStyle w:val="43"/>
          <w:rFonts w:hint="eastAsia" w:ascii="宋体" w:hAnsi="宋体" w:eastAsia="宋体" w:cs="宋体"/>
          <w:bCs/>
          <w:color w:val="auto"/>
          <w:szCs w:val="24"/>
          <w:highlight w:val="none"/>
        </w:rPr>
        <w:t>4.关于资格文件的声明函（格式参见第七章）。</w:t>
      </w:r>
    </w:p>
    <w:p w14:paraId="608E7624">
      <w:pPr>
        <w:shd w:val="clear"/>
        <w:snapToGrid w:val="0"/>
        <w:ind w:firstLine="482" w:firstLineChars="200"/>
        <w:jc w:val="left"/>
        <w:rPr>
          <w:rStyle w:val="43"/>
          <w:rFonts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rPr>
        <w:t>注：以上材料如为复印件均需加盖供应商公章</w:t>
      </w:r>
    </w:p>
    <w:p w14:paraId="10ACDFFE">
      <w:pPr>
        <w:numPr>
          <w:ilvl w:val="0"/>
          <w:numId w:val="6"/>
        </w:numPr>
        <w:shd w:val="clear"/>
        <w:snapToGrid w:val="0"/>
        <w:ind w:firstLine="482" w:firstLineChars="200"/>
        <w:rPr>
          <w:rStyle w:val="43"/>
          <w:rFonts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rPr>
        <w:t>商务技术响应文件（单独装订密封）</w:t>
      </w:r>
    </w:p>
    <w:p w14:paraId="68310A22">
      <w:pPr>
        <w:shd w:val="clear"/>
        <w:snapToGrid w:val="0"/>
        <w:ind w:firstLine="482" w:firstLineChars="200"/>
        <w:rPr>
          <w:rStyle w:val="43"/>
          <w:rFonts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rPr>
        <w:t>【特别提醒】以下商务技术响应文件的内容，不得有缺项或漏项。否则将被视为未实质性响应比选文件要求而作无效响应处理。</w:t>
      </w:r>
    </w:p>
    <w:p w14:paraId="2A59B464">
      <w:pPr>
        <w:shd w:val="clear"/>
        <w:snapToGrid w:val="0"/>
        <w:ind w:firstLine="360" w:firstLineChars="15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1.比选响应函（格式参见第七章）。</w:t>
      </w:r>
    </w:p>
    <w:p w14:paraId="3D4C8DA6">
      <w:pPr>
        <w:shd w:val="clear"/>
        <w:snapToGrid w:val="0"/>
        <w:ind w:firstLine="360" w:firstLineChars="15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2.商务技术条款响应一览表（格式参见第七章）。</w:t>
      </w:r>
    </w:p>
    <w:p w14:paraId="2E169D33">
      <w:pPr>
        <w:shd w:val="clear"/>
        <w:snapToGrid w:val="0"/>
        <w:ind w:firstLine="360" w:firstLineChars="15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3.评审评分项商务技术响应评分中所涉及的事项需提供的所有资料；</w:t>
      </w:r>
    </w:p>
    <w:p w14:paraId="7EB8CB64">
      <w:pPr>
        <w:shd w:val="clear"/>
        <w:snapToGrid w:val="0"/>
        <w:ind w:firstLine="360" w:firstLineChars="15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4.评审评分项中未涉及的事项，供应商认为需要提交的其他资料；</w:t>
      </w:r>
    </w:p>
    <w:p w14:paraId="793C01F3">
      <w:pPr>
        <w:shd w:val="clear"/>
        <w:snapToGrid w:val="0"/>
        <w:ind w:firstLine="360" w:firstLineChars="15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5.比选文件中要求提供的其他材料。</w:t>
      </w:r>
    </w:p>
    <w:p w14:paraId="5652BBD4">
      <w:pPr>
        <w:shd w:val="clear"/>
        <w:snapToGrid w:val="0"/>
        <w:ind w:firstLine="360" w:firstLineChars="15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注：为方便比选小组评审，请供应商按评审评分项中所涉及的事项顺序进行编制，可以补充相关材料。</w:t>
      </w:r>
    </w:p>
    <w:p w14:paraId="7BEC6934">
      <w:pPr>
        <w:shd w:val="clear"/>
        <w:snapToGrid w:val="0"/>
        <w:ind w:firstLine="482" w:firstLineChars="200"/>
        <w:jc w:val="left"/>
        <w:rPr>
          <w:rStyle w:val="43"/>
          <w:rFonts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t>（三）报价响应文件（单独装订密封）</w:t>
      </w:r>
    </w:p>
    <w:p w14:paraId="2D19699D">
      <w:pPr>
        <w:shd w:val="clear"/>
        <w:snapToGrid w:val="0"/>
        <w:ind w:left="478" w:leftChars="184" w:firstLine="0" w:firstLineChars="0"/>
        <w:jc w:val="left"/>
        <w:rPr>
          <w:rStyle w:val="43"/>
          <w:rFonts w:ascii="宋体" w:hAnsi="宋体" w:eastAsia="宋体" w:cs="宋体"/>
          <w:bCs/>
          <w:color w:val="auto"/>
          <w:sz w:val="24"/>
          <w:szCs w:val="21"/>
          <w:highlight w:val="none"/>
        </w:rPr>
      </w:pPr>
      <w:r>
        <w:rPr>
          <w:rStyle w:val="43"/>
          <w:rFonts w:hint="eastAsia" w:ascii="宋体" w:hAnsi="宋体" w:eastAsia="宋体" w:cs="宋体"/>
          <w:bCs/>
          <w:color w:val="auto"/>
          <w:sz w:val="24"/>
          <w:szCs w:val="21"/>
          <w:highlight w:val="none"/>
          <w:lang w:eastAsia="zh-CN"/>
        </w:rPr>
        <w:t>1.报价表</w:t>
      </w:r>
      <w:r>
        <w:rPr>
          <w:rStyle w:val="43"/>
          <w:rFonts w:hint="eastAsia" w:ascii="宋体" w:hAnsi="宋体" w:eastAsia="宋体" w:cs="宋体"/>
          <w:bCs/>
          <w:color w:val="auto"/>
          <w:sz w:val="24"/>
          <w:szCs w:val="21"/>
          <w:highlight w:val="none"/>
        </w:rPr>
        <w:t>（格式参见第七章）。</w:t>
      </w:r>
      <w:r>
        <w:rPr>
          <w:rStyle w:val="43"/>
          <w:rFonts w:hint="eastAsia" w:ascii="宋体" w:hAnsi="宋体" w:eastAsia="宋体" w:cs="宋体"/>
          <w:bCs/>
          <w:color w:val="auto"/>
          <w:sz w:val="24"/>
          <w:szCs w:val="21"/>
          <w:highlight w:val="none"/>
        </w:rPr>
        <w:br w:type="textWrapping"/>
      </w:r>
      <w:r>
        <w:rPr>
          <w:rStyle w:val="43"/>
          <w:rFonts w:hint="eastAsia" w:ascii="宋体" w:hAnsi="宋体" w:eastAsia="宋体" w:cs="宋体"/>
          <w:bCs/>
          <w:color w:val="auto"/>
          <w:sz w:val="24"/>
          <w:szCs w:val="21"/>
          <w:highlight w:val="none"/>
          <w:lang w:val="en-US" w:eastAsia="zh-CN"/>
        </w:rPr>
        <w:t>2.</w:t>
      </w:r>
      <w:r>
        <w:rPr>
          <w:rStyle w:val="43"/>
          <w:rFonts w:hint="eastAsia" w:ascii="宋体" w:hAnsi="宋体" w:eastAsia="宋体" w:cs="宋体"/>
          <w:bCs/>
          <w:color w:val="auto"/>
          <w:sz w:val="24"/>
          <w:szCs w:val="21"/>
          <w:highlight w:val="none"/>
          <w:lang w:eastAsia="zh-CN"/>
        </w:rPr>
        <w:t>报价明细表（格式参见第七章）。</w:t>
      </w:r>
      <w:r>
        <w:rPr>
          <w:rStyle w:val="43"/>
          <w:rFonts w:hint="eastAsia" w:ascii="宋体" w:hAnsi="宋体" w:eastAsia="宋体" w:cs="宋体"/>
          <w:bCs/>
          <w:color w:val="auto"/>
          <w:sz w:val="24"/>
          <w:szCs w:val="21"/>
          <w:highlight w:val="none"/>
          <w:lang w:eastAsia="zh-CN"/>
        </w:rPr>
        <w:br w:type="textWrapping"/>
      </w:r>
    </w:p>
    <w:p w14:paraId="48D970F8">
      <w:pPr>
        <w:shd w:val="clear"/>
        <w:snapToGrid w:val="0"/>
        <w:spacing w:line="500" w:lineRule="exact"/>
        <w:ind w:firstLine="482" w:firstLineChars="200"/>
        <w:jc w:val="left"/>
        <w:rPr>
          <w:rStyle w:val="43"/>
          <w:rFonts w:ascii="宋体" w:hAnsi="宋体" w:eastAsia="宋体" w:cs="宋体"/>
          <w:color w:val="auto"/>
          <w:sz w:val="24"/>
          <w:szCs w:val="24"/>
          <w:highlight w:val="none"/>
        </w:rPr>
      </w:pPr>
      <w:r>
        <w:rPr>
          <w:rStyle w:val="43"/>
          <w:rFonts w:hint="eastAsia" w:ascii="宋体" w:hAnsi="宋体" w:eastAsia="宋体" w:cs="宋体"/>
          <w:b/>
          <w:bCs/>
          <w:color w:val="auto"/>
          <w:sz w:val="24"/>
          <w:szCs w:val="21"/>
          <w:highlight w:val="none"/>
        </w:rPr>
        <w:t>附件：相关格式</w:t>
      </w:r>
    </w:p>
    <w:p w14:paraId="388C7241">
      <w:pPr>
        <w:shd w:val="clear"/>
        <w:tabs>
          <w:tab w:val="center" w:pos="5023"/>
          <w:tab w:val="left" w:pos="8652"/>
        </w:tabs>
        <w:snapToGrid w:val="0"/>
        <w:spacing w:before="360" w:line="400" w:lineRule="exact"/>
        <w:jc w:val="center"/>
        <w:rPr>
          <w:rStyle w:val="43"/>
          <w:rFonts w:ascii="宋体" w:hAnsi="宋体" w:eastAsia="宋体" w:cs="宋体"/>
          <w:b/>
          <w:color w:val="auto"/>
          <w:sz w:val="52"/>
          <w:szCs w:val="52"/>
          <w:highlight w:val="none"/>
        </w:rPr>
      </w:pPr>
    </w:p>
    <w:p w14:paraId="0725661E">
      <w:pPr>
        <w:shd w:val="clear"/>
        <w:snapToGrid w:val="0"/>
        <w:spacing w:line="500" w:lineRule="exact"/>
        <w:rPr>
          <w:rStyle w:val="43"/>
          <w:rFonts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t>A资格审查文件相关的格式文件及表格（单独密封）</w:t>
      </w:r>
    </w:p>
    <w:p w14:paraId="164BCDAA">
      <w:pPr>
        <w:shd w:val="clear"/>
        <w:snapToGrid w:val="0"/>
        <w:spacing w:line="500" w:lineRule="exact"/>
        <w:jc w:val="center"/>
        <w:rPr>
          <w:rStyle w:val="43"/>
          <w:rFonts w:ascii="宋体" w:hAnsi="宋体" w:eastAsia="宋体" w:cs="宋体"/>
          <w:b/>
          <w:bCs/>
          <w:color w:val="auto"/>
          <w:sz w:val="24"/>
          <w:szCs w:val="21"/>
          <w:highlight w:val="none"/>
        </w:rPr>
      </w:pPr>
    </w:p>
    <w:p w14:paraId="2D5A3AB5">
      <w:pPr>
        <w:shd w:val="clear"/>
        <w:snapToGrid w:val="0"/>
        <w:spacing w:line="500" w:lineRule="exact"/>
        <w:jc w:val="center"/>
        <w:rPr>
          <w:rStyle w:val="43"/>
          <w:rFonts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t>1.法定代表人身份证明</w:t>
      </w:r>
    </w:p>
    <w:p w14:paraId="260600EA">
      <w:pPr>
        <w:shd w:val="clear"/>
        <w:snapToGrid w:val="0"/>
        <w:spacing w:line="500" w:lineRule="exact"/>
        <w:jc w:val="center"/>
        <w:rPr>
          <w:rStyle w:val="43"/>
          <w:rFonts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u w:val="single" w:color="000000"/>
        </w:rPr>
        <w:t>（法定代表人参加比选时，须出示此证明）</w:t>
      </w:r>
    </w:p>
    <w:p w14:paraId="517AFAA5">
      <w:pPr>
        <w:shd w:val="clear"/>
        <w:snapToGrid w:val="0"/>
        <w:spacing w:line="500" w:lineRule="exact"/>
        <w:jc w:val="center"/>
        <w:rPr>
          <w:rStyle w:val="43"/>
          <w:rFonts w:ascii="宋体" w:hAnsi="宋体" w:eastAsia="宋体" w:cs="宋体"/>
          <w:color w:val="auto"/>
          <w:sz w:val="24"/>
          <w:szCs w:val="21"/>
          <w:highlight w:val="none"/>
        </w:rPr>
      </w:pPr>
    </w:p>
    <w:p w14:paraId="1505E7A4">
      <w:pPr>
        <w:shd w:val="clear"/>
        <w:snapToGrid w:val="0"/>
        <w:spacing w:line="500" w:lineRule="exac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u w:val="single" w:color="000000"/>
        </w:rPr>
        <w:t>南通市疾病预防控制中心</w:t>
      </w:r>
      <w:r>
        <w:rPr>
          <w:rStyle w:val="43"/>
          <w:rFonts w:hint="eastAsia" w:ascii="宋体" w:hAnsi="宋体" w:eastAsia="宋体" w:cs="宋体"/>
          <w:color w:val="auto"/>
          <w:sz w:val="24"/>
          <w:szCs w:val="21"/>
          <w:highlight w:val="none"/>
        </w:rPr>
        <w:t>：</w:t>
      </w:r>
    </w:p>
    <w:p w14:paraId="5903636F">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我公司法定代表人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参加贵单位组织的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（比选项目名称)的比选活动，全权代表我公司处理比选的有关事宜。</w:t>
      </w:r>
    </w:p>
    <w:p w14:paraId="0CC663EC">
      <w:pPr>
        <w:shd w:val="clear"/>
        <w:snapToGrid w:val="0"/>
        <w:spacing w:line="500" w:lineRule="exact"/>
        <w:rPr>
          <w:rStyle w:val="43"/>
          <w:rFonts w:ascii="宋体" w:hAnsi="宋体" w:eastAsia="宋体" w:cs="宋体"/>
          <w:color w:val="auto"/>
          <w:sz w:val="24"/>
          <w:szCs w:val="21"/>
          <w:highlight w:val="none"/>
        </w:rPr>
      </w:pPr>
    </w:p>
    <w:p w14:paraId="510D302F">
      <w:pPr>
        <w:shd w:val="clear"/>
        <w:snapToGrid w:val="0"/>
        <w:spacing w:line="500" w:lineRule="exact"/>
        <w:ind w:firstLine="484" w:firstLineChars="202"/>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附：法定代表人情况：</w:t>
      </w:r>
    </w:p>
    <w:p w14:paraId="53A4334F">
      <w:pPr>
        <w:shd w:val="clear"/>
        <w:snapToGrid w:val="0"/>
        <w:spacing w:line="500" w:lineRule="exact"/>
        <w:ind w:firstLine="484" w:firstLineChars="202"/>
        <w:rPr>
          <w:rStyle w:val="43"/>
          <w:rFonts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rPr>
        <w:t>姓名：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性别：</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年龄：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职务：</w:t>
      </w:r>
      <w:r>
        <w:rPr>
          <w:rStyle w:val="43"/>
          <w:rFonts w:hint="eastAsia" w:ascii="宋体" w:hAnsi="宋体" w:eastAsia="宋体" w:cs="宋体"/>
          <w:color w:val="auto"/>
          <w:sz w:val="24"/>
          <w:szCs w:val="21"/>
          <w:highlight w:val="none"/>
          <w:u w:val="single" w:color="000000"/>
        </w:rPr>
        <w:t xml:space="preserve">          </w:t>
      </w:r>
    </w:p>
    <w:p w14:paraId="5C4FB64F">
      <w:pPr>
        <w:shd w:val="clear"/>
        <w:snapToGrid w:val="0"/>
        <w:spacing w:line="500" w:lineRule="exact"/>
        <w:ind w:firstLine="484" w:firstLineChars="202"/>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身份证号码：</w:t>
      </w:r>
      <w:r>
        <w:rPr>
          <w:rStyle w:val="43"/>
          <w:rFonts w:hint="eastAsia" w:ascii="宋体" w:hAnsi="宋体" w:eastAsia="宋体" w:cs="宋体"/>
          <w:color w:val="auto"/>
          <w:sz w:val="24"/>
          <w:szCs w:val="21"/>
          <w:highlight w:val="none"/>
          <w:u w:val="single" w:color="000000"/>
        </w:rPr>
        <w:t xml:space="preserve">                                         </w:t>
      </w:r>
    </w:p>
    <w:p w14:paraId="19F40546">
      <w:pPr>
        <w:shd w:val="clear"/>
        <w:snapToGrid w:val="0"/>
        <w:spacing w:line="500" w:lineRule="exact"/>
        <w:ind w:firstLine="484" w:firstLineChars="202"/>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手机：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传真：</w:t>
      </w:r>
      <w:r>
        <w:rPr>
          <w:rStyle w:val="43"/>
          <w:rFonts w:hint="eastAsia" w:ascii="宋体" w:hAnsi="宋体" w:eastAsia="宋体" w:cs="宋体"/>
          <w:color w:val="auto"/>
          <w:sz w:val="24"/>
          <w:szCs w:val="21"/>
          <w:highlight w:val="none"/>
          <w:u w:val="single" w:color="000000"/>
        </w:rPr>
        <w:t xml:space="preserve">                       </w:t>
      </w:r>
    </w:p>
    <w:p w14:paraId="0FACCC14">
      <w:pPr>
        <w:shd w:val="clear"/>
        <w:snapToGrid w:val="0"/>
        <w:spacing w:line="500" w:lineRule="exac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w:t>
      </w:r>
    </w:p>
    <w:p w14:paraId="32177867">
      <w:pPr>
        <w:shd w:val="clear"/>
        <w:snapToGrid w:val="0"/>
        <w:spacing w:line="500" w:lineRule="exact"/>
        <w:rPr>
          <w:rStyle w:val="43"/>
          <w:rFonts w:ascii="宋体" w:hAnsi="宋体" w:eastAsia="宋体" w:cs="宋体"/>
          <w:color w:val="auto"/>
          <w:sz w:val="24"/>
          <w:szCs w:val="21"/>
          <w:highlight w:val="none"/>
        </w:rPr>
      </w:pPr>
    </w:p>
    <w:p w14:paraId="75D9B58D">
      <w:pPr>
        <w:shd w:val="clear"/>
        <w:snapToGrid w:val="0"/>
        <w:spacing w:line="500" w:lineRule="exac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单位名称（公章）                   法定代表人（签字或盖章）</w:t>
      </w:r>
    </w:p>
    <w:p w14:paraId="1B2FB608">
      <w:pPr>
        <w:shd w:val="clear"/>
        <w:snapToGrid w:val="0"/>
        <w:spacing w:line="500" w:lineRule="exact"/>
        <w:ind w:firstLine="1200" w:firstLineChars="5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年   月   日                      年   月    日  </w:t>
      </w:r>
    </w:p>
    <w:p w14:paraId="17BACEAF">
      <w:pPr>
        <w:shd w:val="clear"/>
        <w:snapToGrid w:val="0"/>
        <w:spacing w:line="500" w:lineRule="exact"/>
        <w:rPr>
          <w:rStyle w:val="43"/>
          <w:rFonts w:ascii="宋体" w:hAnsi="宋体" w:eastAsia="宋体" w:cs="宋体"/>
          <w:color w:val="auto"/>
          <w:sz w:val="24"/>
          <w:szCs w:val="21"/>
          <w:highlight w:val="none"/>
        </w:rPr>
      </w:pPr>
    </w:p>
    <w:p w14:paraId="6374EC60">
      <w:pPr>
        <w:pStyle w:val="96"/>
        <w:shd w:val="clear"/>
        <w:snapToGrid w:val="0"/>
        <w:ind w:firstLine="520"/>
        <w:rPr>
          <w:rStyle w:val="43"/>
          <w:rFonts w:ascii="宋体" w:hAnsi="宋体" w:eastAsia="宋体" w:cs="宋体"/>
          <w:color w:val="auto"/>
          <w:sz w:val="26"/>
          <w:highlight w:val="none"/>
        </w:rPr>
      </w:pPr>
    </w:p>
    <w:p w14:paraId="2DBEEFC5">
      <w:pPr>
        <w:shd w:val="clear"/>
        <w:snapToGrid w:val="0"/>
        <w:spacing w:line="500" w:lineRule="exact"/>
        <w:ind w:firstLine="2640" w:firstLineChars="11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法定代表人身份证复印件</w:t>
      </w:r>
    </w:p>
    <w:p w14:paraId="2CD4188C">
      <w:pPr>
        <w:shd w:val="clear"/>
        <w:snapToGrid w:val="0"/>
        <w:spacing w:line="500" w:lineRule="exact"/>
        <w:ind w:firstLine="3000" w:firstLineChars="125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（粘贴此处）</w:t>
      </w:r>
    </w:p>
    <w:p w14:paraId="5A14AB70">
      <w:pPr>
        <w:shd w:val="clear"/>
        <w:snapToGrid w:val="0"/>
        <w:spacing w:line="500" w:lineRule="exact"/>
        <w:ind w:firstLine="2280" w:firstLineChars="950"/>
        <w:rPr>
          <w:rStyle w:val="43"/>
          <w:rFonts w:ascii="宋体" w:hAnsi="宋体" w:eastAsia="宋体" w:cs="宋体"/>
          <w:color w:val="auto"/>
          <w:sz w:val="24"/>
          <w:szCs w:val="21"/>
          <w:highlight w:val="none"/>
        </w:rPr>
      </w:pPr>
    </w:p>
    <w:p w14:paraId="1ECD9E24">
      <w:pPr>
        <w:shd w:val="clear"/>
        <w:snapToGrid w:val="0"/>
        <w:spacing w:line="500" w:lineRule="exact"/>
        <w:rPr>
          <w:rStyle w:val="43"/>
          <w:rFonts w:ascii="宋体" w:hAnsi="宋体" w:eastAsia="宋体" w:cs="宋体"/>
          <w:b/>
          <w:bCs/>
          <w:color w:val="auto"/>
          <w:sz w:val="24"/>
          <w:szCs w:val="21"/>
          <w:highlight w:val="none"/>
        </w:rPr>
      </w:pPr>
    </w:p>
    <w:p w14:paraId="0F4631F3">
      <w:pPr>
        <w:shd w:val="clear"/>
        <w:snapToGrid w:val="0"/>
        <w:spacing w:line="500" w:lineRule="exact"/>
        <w:ind w:firstLine="482" w:firstLineChars="200"/>
        <w:rPr>
          <w:rStyle w:val="43"/>
          <w:rFonts w:ascii="宋体" w:hAnsi="宋体" w:eastAsia="宋体" w:cs="宋体"/>
          <w:color w:val="auto"/>
          <w:sz w:val="24"/>
          <w:szCs w:val="21"/>
          <w:highlight w:val="none"/>
        </w:rPr>
      </w:pPr>
      <w:r>
        <w:rPr>
          <w:rStyle w:val="43"/>
          <w:rFonts w:hint="eastAsia" w:ascii="宋体" w:hAnsi="宋体" w:eastAsia="宋体" w:cs="宋体"/>
          <w:b/>
          <w:bCs/>
          <w:color w:val="auto"/>
          <w:sz w:val="24"/>
          <w:szCs w:val="21"/>
          <w:highlight w:val="none"/>
        </w:rPr>
        <w:t>注:</w:t>
      </w:r>
      <w:r>
        <w:rPr>
          <w:rStyle w:val="43"/>
          <w:rFonts w:hint="eastAsia" w:ascii="宋体" w:hAnsi="宋体" w:eastAsia="宋体" w:cs="宋体"/>
          <w:color w:val="auto"/>
          <w:sz w:val="24"/>
          <w:szCs w:val="21"/>
          <w:highlight w:val="none"/>
        </w:rPr>
        <w:t>如为法定代表人参加比选时，须将身份证原件带至开标现场备查。</w:t>
      </w:r>
    </w:p>
    <w:p w14:paraId="0F43FF70">
      <w:pPr>
        <w:shd w:val="clear"/>
        <w:snapToGrid w:val="0"/>
        <w:spacing w:line="500" w:lineRule="exact"/>
        <w:jc w:val="center"/>
        <w:rPr>
          <w:rStyle w:val="43"/>
          <w:rFonts w:ascii="宋体" w:hAnsi="宋体" w:eastAsia="宋体" w:cs="宋体"/>
          <w:b/>
          <w:bCs/>
          <w:color w:val="auto"/>
          <w:sz w:val="24"/>
          <w:szCs w:val="21"/>
          <w:highlight w:val="none"/>
        </w:rPr>
      </w:pPr>
    </w:p>
    <w:p w14:paraId="3545995A">
      <w:pPr>
        <w:shd w:val="clea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page"/>
      </w:r>
    </w:p>
    <w:p w14:paraId="36412C44">
      <w:pPr>
        <w:shd w:val="clear"/>
        <w:snapToGrid w:val="0"/>
        <w:spacing w:line="500" w:lineRule="exact"/>
        <w:jc w:val="center"/>
        <w:rPr>
          <w:rStyle w:val="43"/>
          <w:rFonts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t>2.授权委托书</w:t>
      </w:r>
    </w:p>
    <w:p w14:paraId="6F94A6AB">
      <w:pPr>
        <w:shd w:val="clear"/>
        <w:snapToGrid w:val="0"/>
        <w:spacing w:line="500" w:lineRule="exact"/>
        <w:jc w:val="center"/>
        <w:rPr>
          <w:rStyle w:val="43"/>
          <w:rFonts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u w:val="single" w:color="000000"/>
        </w:rPr>
        <w:t>（被授权人参加比选时，须出示此证明）</w:t>
      </w:r>
    </w:p>
    <w:p w14:paraId="3EDAF40F">
      <w:pPr>
        <w:shd w:val="clear"/>
        <w:snapToGrid w:val="0"/>
        <w:spacing w:line="500" w:lineRule="exac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u w:val="single" w:color="000000"/>
        </w:rPr>
        <w:t>南通市疾病预防控制中心</w:t>
      </w:r>
      <w:r>
        <w:rPr>
          <w:rStyle w:val="43"/>
          <w:rFonts w:hint="eastAsia" w:ascii="宋体" w:hAnsi="宋体" w:eastAsia="宋体" w:cs="宋体"/>
          <w:color w:val="auto"/>
          <w:sz w:val="24"/>
          <w:szCs w:val="21"/>
          <w:highlight w:val="none"/>
        </w:rPr>
        <w:t>：</w:t>
      </w:r>
    </w:p>
    <w:p w14:paraId="351E4E79">
      <w:pPr>
        <w:shd w:val="clear"/>
        <w:snapToGrid w:val="0"/>
        <w:spacing w:line="500" w:lineRule="exact"/>
        <w:ind w:left="1"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兹授权</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被授权人的姓名）代表我公司参加</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（比选项目名称)的比选活动，全权处理一切与该项目比选有关的事务。其在办理上述事宜过程中所签署的所有文件我公司均予以承认。</w:t>
      </w:r>
    </w:p>
    <w:p w14:paraId="25F3E418">
      <w:pPr>
        <w:shd w:val="clear"/>
        <w:snapToGrid w:val="0"/>
        <w:spacing w:line="500" w:lineRule="exact"/>
        <w:ind w:left="1"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被授权人无转委托权。特此委托。</w:t>
      </w:r>
    </w:p>
    <w:p w14:paraId="19294899">
      <w:pPr>
        <w:shd w:val="clear"/>
        <w:snapToGrid w:val="0"/>
        <w:spacing w:line="500" w:lineRule="exact"/>
        <w:rPr>
          <w:rStyle w:val="43"/>
          <w:rFonts w:ascii="宋体" w:hAnsi="宋体" w:eastAsia="宋体" w:cs="宋体"/>
          <w:color w:val="auto"/>
          <w:sz w:val="24"/>
          <w:szCs w:val="21"/>
          <w:highlight w:val="none"/>
        </w:rPr>
      </w:pPr>
    </w:p>
    <w:p w14:paraId="369E3D5F">
      <w:pPr>
        <w:shd w:val="clear"/>
        <w:snapToGrid w:val="0"/>
        <w:spacing w:line="500" w:lineRule="exac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附：被授权人情况：</w:t>
      </w:r>
    </w:p>
    <w:p w14:paraId="549EF502">
      <w:pPr>
        <w:shd w:val="clear"/>
        <w:snapToGrid w:val="0"/>
        <w:spacing w:line="500" w:lineRule="exact"/>
        <w:rPr>
          <w:rStyle w:val="43"/>
          <w:rFonts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rPr>
        <w:t>姓名：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性别：</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年龄：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职务：</w:t>
      </w:r>
      <w:r>
        <w:rPr>
          <w:rStyle w:val="43"/>
          <w:rFonts w:hint="eastAsia" w:ascii="宋体" w:hAnsi="宋体" w:eastAsia="宋体" w:cs="宋体"/>
          <w:color w:val="auto"/>
          <w:sz w:val="24"/>
          <w:szCs w:val="21"/>
          <w:highlight w:val="none"/>
          <w:u w:val="single" w:color="000000"/>
        </w:rPr>
        <w:t xml:space="preserve">          </w:t>
      </w:r>
    </w:p>
    <w:p w14:paraId="00F95864">
      <w:pPr>
        <w:shd w:val="clear"/>
        <w:snapToGrid w:val="0"/>
        <w:spacing w:line="500" w:lineRule="exac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身份证号码：</w:t>
      </w:r>
      <w:r>
        <w:rPr>
          <w:rStyle w:val="43"/>
          <w:rFonts w:hint="eastAsia" w:ascii="宋体" w:hAnsi="宋体" w:eastAsia="宋体" w:cs="宋体"/>
          <w:color w:val="auto"/>
          <w:sz w:val="24"/>
          <w:szCs w:val="21"/>
          <w:highlight w:val="none"/>
          <w:u w:val="single" w:color="000000"/>
        </w:rPr>
        <w:t xml:space="preserve">                                         </w:t>
      </w:r>
    </w:p>
    <w:p w14:paraId="56C27111">
      <w:pPr>
        <w:shd w:val="clear"/>
        <w:snapToGrid w:val="0"/>
        <w:spacing w:line="500" w:lineRule="exac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手机：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传真：</w:t>
      </w:r>
      <w:r>
        <w:rPr>
          <w:rStyle w:val="43"/>
          <w:rFonts w:hint="eastAsia" w:ascii="宋体" w:hAnsi="宋体" w:eastAsia="宋体" w:cs="宋体"/>
          <w:color w:val="auto"/>
          <w:sz w:val="24"/>
          <w:szCs w:val="21"/>
          <w:highlight w:val="none"/>
          <w:u w:val="single" w:color="000000"/>
        </w:rPr>
        <w:t xml:space="preserve">                        </w:t>
      </w:r>
    </w:p>
    <w:p w14:paraId="2BDB7DB8">
      <w:pPr>
        <w:shd w:val="clear"/>
        <w:snapToGrid w:val="0"/>
        <w:spacing w:line="500" w:lineRule="exac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w:t>
      </w:r>
    </w:p>
    <w:p w14:paraId="1F23A5A8">
      <w:pPr>
        <w:shd w:val="clear"/>
        <w:snapToGrid w:val="0"/>
        <w:spacing w:line="500" w:lineRule="exac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单位名称（公章）                      法定代表人（签字或盖章）</w:t>
      </w:r>
    </w:p>
    <w:p w14:paraId="6251F475">
      <w:pPr>
        <w:shd w:val="clear"/>
        <w:snapToGrid w:val="0"/>
        <w:spacing w:line="500" w:lineRule="exact"/>
        <w:ind w:firstLine="1200" w:firstLineChars="5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年   月   日                        年   月   日</w:t>
      </w:r>
    </w:p>
    <w:p w14:paraId="6D2E7AF0">
      <w:pPr>
        <w:shd w:val="clear"/>
        <w:snapToGrid w:val="0"/>
        <w:spacing w:line="500" w:lineRule="exact"/>
        <w:rPr>
          <w:rStyle w:val="43"/>
          <w:rFonts w:ascii="宋体" w:hAnsi="宋体" w:eastAsia="宋体" w:cs="宋体"/>
          <w:color w:val="auto"/>
          <w:sz w:val="24"/>
          <w:szCs w:val="21"/>
          <w:highlight w:val="none"/>
        </w:rPr>
      </w:pPr>
    </w:p>
    <w:p w14:paraId="7D520AF2">
      <w:pPr>
        <w:shd w:val="clear"/>
        <w:snapToGrid w:val="0"/>
        <w:spacing w:line="500" w:lineRule="exact"/>
        <w:jc w:val="center"/>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法定代表人身份证复印件</w:t>
      </w:r>
    </w:p>
    <w:p w14:paraId="40ABC061">
      <w:pPr>
        <w:shd w:val="clear"/>
        <w:snapToGrid w:val="0"/>
        <w:spacing w:line="500" w:lineRule="exact"/>
        <w:jc w:val="center"/>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（粘贴此处）</w:t>
      </w:r>
    </w:p>
    <w:p w14:paraId="468C029D">
      <w:pPr>
        <w:shd w:val="clear"/>
        <w:snapToGrid w:val="0"/>
        <w:spacing w:line="500" w:lineRule="exact"/>
        <w:jc w:val="center"/>
        <w:rPr>
          <w:rStyle w:val="43"/>
          <w:rFonts w:ascii="宋体" w:hAnsi="宋体" w:eastAsia="宋体" w:cs="宋体"/>
          <w:color w:val="auto"/>
          <w:sz w:val="24"/>
          <w:szCs w:val="21"/>
          <w:highlight w:val="none"/>
        </w:rPr>
      </w:pPr>
    </w:p>
    <w:p w14:paraId="51AEA933">
      <w:pPr>
        <w:shd w:val="clear"/>
        <w:snapToGrid w:val="0"/>
        <w:spacing w:line="500" w:lineRule="exact"/>
        <w:jc w:val="center"/>
        <w:rPr>
          <w:rStyle w:val="43"/>
          <w:rFonts w:ascii="宋体" w:hAnsi="宋体" w:eastAsia="宋体" w:cs="宋体"/>
          <w:color w:val="auto"/>
          <w:sz w:val="24"/>
          <w:szCs w:val="21"/>
          <w:highlight w:val="none"/>
        </w:rPr>
      </w:pPr>
    </w:p>
    <w:p w14:paraId="2A6548E1">
      <w:pPr>
        <w:shd w:val="clear"/>
        <w:snapToGrid w:val="0"/>
        <w:spacing w:line="500" w:lineRule="exact"/>
        <w:jc w:val="center"/>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被授权人身份证复印件</w:t>
      </w:r>
    </w:p>
    <w:p w14:paraId="094686F2">
      <w:pPr>
        <w:shd w:val="clear"/>
        <w:snapToGrid w:val="0"/>
        <w:spacing w:line="500" w:lineRule="exact"/>
        <w:jc w:val="center"/>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（粘贴此处）</w:t>
      </w:r>
    </w:p>
    <w:p w14:paraId="1393E9B7">
      <w:pPr>
        <w:shd w:val="clear"/>
        <w:snapToGrid w:val="0"/>
        <w:spacing w:line="500" w:lineRule="exact"/>
        <w:ind w:firstLine="482" w:firstLineChars="200"/>
        <w:rPr>
          <w:rStyle w:val="43"/>
          <w:rFonts w:ascii="宋体" w:hAnsi="宋体" w:eastAsia="宋体" w:cs="宋体"/>
          <w:b/>
          <w:bCs/>
          <w:color w:val="auto"/>
          <w:sz w:val="24"/>
          <w:szCs w:val="21"/>
          <w:highlight w:val="none"/>
        </w:rPr>
      </w:pPr>
    </w:p>
    <w:p w14:paraId="159BDF4A">
      <w:pPr>
        <w:shd w:val="clear"/>
        <w:snapToGrid w:val="0"/>
        <w:spacing w:line="50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注:如为被授权人参加比选时，须将身份证原件带至开标现场备查。</w:t>
      </w:r>
    </w:p>
    <w:p w14:paraId="05523237">
      <w:pPr>
        <w:pStyle w:val="108"/>
        <w:shd w:val="clear"/>
        <w:spacing w:line="520" w:lineRule="exact"/>
        <w:ind w:firstLine="480"/>
        <w:jc w:val="center"/>
        <w:rPr>
          <w:rStyle w:val="43"/>
          <w:rFonts w:hAnsi="宋体" w:cs="宋体"/>
          <w:color w:val="auto"/>
          <w:szCs w:val="21"/>
          <w:highlight w:val="none"/>
        </w:rPr>
      </w:pPr>
      <w:r>
        <w:rPr>
          <w:rStyle w:val="43"/>
          <w:rFonts w:hint="eastAsia" w:hAnsi="宋体" w:cs="宋体"/>
          <w:color w:val="auto"/>
          <w:szCs w:val="21"/>
          <w:highlight w:val="none"/>
        </w:rPr>
        <w:br w:type="textWrapping"/>
      </w:r>
    </w:p>
    <w:p w14:paraId="05969E99">
      <w:pPr>
        <w:pStyle w:val="108"/>
        <w:shd w:val="clear"/>
        <w:spacing w:line="520" w:lineRule="exact"/>
        <w:ind w:firstLine="482"/>
        <w:jc w:val="center"/>
        <w:rPr>
          <w:rStyle w:val="43"/>
          <w:rFonts w:hAnsi="宋体" w:cs="宋体"/>
          <w:b/>
          <w:bCs/>
          <w:color w:val="auto"/>
          <w:szCs w:val="21"/>
          <w:highlight w:val="none"/>
        </w:rPr>
      </w:pPr>
      <w:r>
        <w:rPr>
          <w:rStyle w:val="43"/>
          <w:rFonts w:hint="eastAsia" w:hAnsi="宋体" w:cs="宋体"/>
          <w:b/>
          <w:bCs/>
          <w:color w:val="auto"/>
          <w:szCs w:val="21"/>
          <w:highlight w:val="none"/>
        </w:rPr>
        <w:br w:type="page"/>
      </w:r>
      <w:r>
        <w:rPr>
          <w:rStyle w:val="43"/>
          <w:rFonts w:hint="eastAsia" w:hAnsi="宋体" w:cs="宋体"/>
          <w:b/>
          <w:bCs/>
          <w:color w:val="auto"/>
          <w:szCs w:val="21"/>
          <w:highlight w:val="none"/>
        </w:rPr>
        <w:t>3.无重大违法记录声明函</w:t>
      </w:r>
    </w:p>
    <w:p w14:paraId="57CF53D5">
      <w:pPr>
        <w:shd w:val="clear"/>
        <w:snapToGrid w:val="0"/>
        <w:spacing w:line="500" w:lineRule="exact"/>
        <w:rPr>
          <w:rStyle w:val="43"/>
          <w:rFonts w:ascii="宋体" w:hAnsi="宋体" w:eastAsia="宋体" w:cs="宋体"/>
          <w:bCs/>
          <w:color w:val="auto"/>
          <w:sz w:val="24"/>
          <w:szCs w:val="21"/>
          <w:highlight w:val="none"/>
        </w:rPr>
      </w:pPr>
      <w:r>
        <w:rPr>
          <w:rStyle w:val="43"/>
          <w:rFonts w:hint="eastAsia" w:ascii="宋体" w:hAnsi="宋体" w:eastAsia="宋体" w:cs="宋体"/>
          <w:color w:val="auto"/>
          <w:sz w:val="24"/>
          <w:szCs w:val="21"/>
          <w:highlight w:val="none"/>
          <w:u w:val="single" w:color="000000"/>
        </w:rPr>
        <w:t>南通市疾病预防控制中心</w:t>
      </w:r>
      <w:r>
        <w:rPr>
          <w:rStyle w:val="43"/>
          <w:rFonts w:hint="eastAsia" w:ascii="宋体" w:hAnsi="宋体" w:eastAsia="宋体" w:cs="宋体"/>
          <w:bCs/>
          <w:color w:val="auto"/>
          <w:sz w:val="24"/>
          <w:szCs w:val="21"/>
          <w:highlight w:val="none"/>
        </w:rPr>
        <w:t>：</w:t>
      </w:r>
    </w:p>
    <w:p w14:paraId="73134C5C">
      <w:pPr>
        <w:shd w:val="clear"/>
        <w:snapToGrid w:val="0"/>
        <w:spacing w:line="500" w:lineRule="exac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我单位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（供应商名称）郑重声明：</w:t>
      </w:r>
    </w:p>
    <w:p w14:paraId="7C9F7A46">
      <w:pPr>
        <w:shd w:val="clear"/>
        <w:snapToGrid w:val="0"/>
        <w:spacing w:line="500" w:lineRule="exac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参加采购活动前3年内在经营活动中</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（在下划线上如实填写：</w:t>
      </w:r>
      <w:r>
        <w:rPr>
          <w:rStyle w:val="43"/>
          <w:rFonts w:hint="eastAsia" w:ascii="宋体" w:hAnsi="宋体" w:eastAsia="宋体" w:cs="宋体"/>
          <w:color w:val="auto"/>
          <w:sz w:val="24"/>
          <w:szCs w:val="21"/>
          <w:highlight w:val="none"/>
          <w:u w:val="single" w:color="000000"/>
        </w:rPr>
        <w:t>有或没有</w:t>
      </w:r>
      <w:r>
        <w:rPr>
          <w:rStyle w:val="43"/>
          <w:rFonts w:hint="eastAsia" w:ascii="宋体" w:hAnsi="宋体" w:eastAsia="宋体" w:cs="宋体"/>
          <w:color w:val="auto"/>
          <w:sz w:val="24"/>
          <w:szCs w:val="21"/>
          <w:highlight w:val="none"/>
        </w:rPr>
        <w:t>）重大违法记录。</w:t>
      </w:r>
    </w:p>
    <w:p w14:paraId="3B7C7ECA">
      <w:pPr>
        <w:shd w:val="clear"/>
        <w:snapToGrid w:val="0"/>
        <w:spacing w:line="500" w:lineRule="exact"/>
        <w:ind w:firstLine="48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（说明：重大违法记录，是指供应商因违法经营受到刑事处罚或者责令停产停业、吊销许可证或者执照、较大数额罚款等行政处罚。）</w:t>
      </w:r>
    </w:p>
    <w:p w14:paraId="53C9307C">
      <w:pPr>
        <w:shd w:val="clear"/>
        <w:snapToGrid w:val="0"/>
        <w:spacing w:line="500" w:lineRule="exac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声明人：（公章）</w:t>
      </w:r>
    </w:p>
    <w:p w14:paraId="301027A8">
      <w:pPr>
        <w:shd w:val="clear"/>
        <w:snapToGrid w:val="0"/>
        <w:spacing w:line="500" w:lineRule="exact"/>
        <w:jc w:val="center"/>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年     月    日</w:t>
      </w:r>
    </w:p>
    <w:p w14:paraId="4A2A62C9">
      <w:pPr>
        <w:shd w:val="clear"/>
        <w:snapToGrid w:val="0"/>
        <w:spacing w:line="500" w:lineRule="exact"/>
        <w:rPr>
          <w:rStyle w:val="43"/>
          <w:rFonts w:ascii="宋体" w:hAnsi="宋体" w:eastAsia="宋体" w:cs="宋体"/>
          <w:color w:val="auto"/>
          <w:sz w:val="24"/>
          <w:szCs w:val="21"/>
          <w:highlight w:val="none"/>
        </w:rPr>
      </w:pPr>
    </w:p>
    <w:p w14:paraId="464F2B4C">
      <w:pPr>
        <w:shd w:val="clear"/>
        <w:snapToGrid w:val="0"/>
        <w:spacing w:line="500" w:lineRule="exact"/>
        <w:jc w:val="center"/>
        <w:rPr>
          <w:rStyle w:val="43"/>
          <w:rFonts w:ascii="宋体" w:hAnsi="宋体" w:eastAsia="宋体" w:cs="宋体"/>
          <w:b/>
          <w:bCs/>
          <w:color w:val="auto"/>
          <w:sz w:val="24"/>
          <w:szCs w:val="21"/>
          <w:highlight w:val="none"/>
        </w:rPr>
      </w:pPr>
    </w:p>
    <w:p w14:paraId="1775D7CF">
      <w:pPr>
        <w:shd w:val="clear"/>
        <w:snapToGrid w:val="0"/>
        <w:spacing w:line="500" w:lineRule="exact"/>
        <w:jc w:val="center"/>
        <w:rPr>
          <w:rStyle w:val="43"/>
          <w:rFonts w:ascii="宋体" w:hAnsi="宋体" w:eastAsia="宋体" w:cs="宋体"/>
          <w:b/>
          <w:bCs/>
          <w:color w:val="auto"/>
          <w:sz w:val="24"/>
          <w:szCs w:val="21"/>
          <w:highlight w:val="none"/>
        </w:rPr>
      </w:pPr>
    </w:p>
    <w:p w14:paraId="6775D15A">
      <w:pPr>
        <w:shd w:val="clear"/>
        <w:snapToGrid w:val="0"/>
        <w:spacing w:line="500" w:lineRule="exact"/>
        <w:jc w:val="center"/>
        <w:rPr>
          <w:rStyle w:val="43"/>
          <w:rFonts w:ascii="宋体" w:hAnsi="宋体" w:eastAsia="宋体" w:cs="宋体"/>
          <w:b/>
          <w:bCs/>
          <w:color w:val="auto"/>
          <w:sz w:val="24"/>
          <w:szCs w:val="21"/>
          <w:highlight w:val="none"/>
        </w:rPr>
      </w:pPr>
    </w:p>
    <w:p w14:paraId="671AEE51">
      <w:pPr>
        <w:shd w:val="clear"/>
        <w:snapToGrid w:val="0"/>
        <w:spacing w:line="500" w:lineRule="exact"/>
        <w:jc w:val="center"/>
        <w:rPr>
          <w:rStyle w:val="43"/>
          <w:rFonts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textWrapping"/>
      </w:r>
    </w:p>
    <w:p w14:paraId="2A6B88F0">
      <w:pPr>
        <w:shd w:val="clear"/>
        <w:snapToGrid w:val="0"/>
        <w:spacing w:line="500" w:lineRule="exact"/>
        <w:jc w:val="center"/>
        <w:rPr>
          <w:rStyle w:val="43"/>
          <w:rFonts w:ascii="宋体" w:hAnsi="宋体" w:eastAsia="宋体" w:cs="宋体"/>
          <w:color w:val="auto"/>
          <w:sz w:val="24"/>
          <w:szCs w:val="21"/>
          <w:highlight w:val="none"/>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rPr>
        <w:t>4.关于资格文件的声明函</w:t>
      </w:r>
    </w:p>
    <w:p w14:paraId="7EBD19CF">
      <w:pPr>
        <w:shd w:val="clear"/>
        <w:snapToGrid w:val="0"/>
        <w:spacing w:line="500" w:lineRule="exact"/>
        <w:ind w:firstLine="420"/>
        <w:jc w:val="center"/>
        <w:rPr>
          <w:rStyle w:val="43"/>
          <w:rFonts w:ascii="宋体" w:hAnsi="宋体" w:eastAsia="宋体" w:cs="宋体"/>
          <w:color w:val="auto"/>
          <w:sz w:val="24"/>
          <w:szCs w:val="21"/>
          <w:highlight w:val="none"/>
        </w:rPr>
      </w:pPr>
    </w:p>
    <w:p w14:paraId="051AA4A0">
      <w:pPr>
        <w:shd w:val="clear"/>
        <w:snapToGrid w:val="0"/>
        <w:spacing w:line="500" w:lineRule="exact"/>
        <w:jc w:val="left"/>
        <w:rPr>
          <w:rStyle w:val="43"/>
          <w:rFonts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u w:val="single" w:color="000000"/>
        </w:rPr>
        <w:t>南通市疾病预防控制中心：</w:t>
      </w:r>
    </w:p>
    <w:p w14:paraId="007E7C28">
      <w:pPr>
        <w:shd w:val="clear"/>
        <w:snapToGrid w:val="0"/>
        <w:spacing w:line="500" w:lineRule="exact"/>
        <w:ind w:firstLine="66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本公司愿就由贵单位组织实施的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（比选项目名称)比选活动进行响应。</w:t>
      </w:r>
    </w:p>
    <w:p w14:paraId="587C0E0C">
      <w:pPr>
        <w:shd w:val="clear"/>
        <w:snapToGrid w:val="0"/>
        <w:spacing w:line="500" w:lineRule="exact"/>
        <w:ind w:firstLine="66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本公司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p>
    <w:p w14:paraId="0F1E550A">
      <w:pPr>
        <w:shd w:val="clear"/>
        <w:snapToGrid w:val="0"/>
        <w:spacing w:line="500" w:lineRule="exact"/>
        <w:ind w:firstLine="480" w:firstLineChars="20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本公司所提交的响应文件中所有关于比选资格的文件、证明和陈述均是真实的、准确的。若与真实情况不符，本公司愿意承担由此而产生的一切后果。</w:t>
      </w:r>
    </w:p>
    <w:p w14:paraId="1D7284D4">
      <w:pPr>
        <w:shd w:val="clear"/>
        <w:snapToGrid w:val="0"/>
        <w:spacing w:line="500" w:lineRule="exact"/>
        <w:ind w:firstLine="420"/>
        <w:jc w:val="left"/>
        <w:rPr>
          <w:rStyle w:val="43"/>
          <w:rFonts w:ascii="宋体" w:hAnsi="宋体" w:eastAsia="宋体" w:cs="宋体"/>
          <w:color w:val="auto"/>
          <w:sz w:val="24"/>
          <w:szCs w:val="21"/>
          <w:highlight w:val="none"/>
        </w:rPr>
      </w:pPr>
    </w:p>
    <w:p w14:paraId="192DF7D8">
      <w:pPr>
        <w:shd w:val="clear"/>
        <w:snapToGrid w:val="0"/>
        <w:spacing w:line="500" w:lineRule="exact"/>
        <w:ind w:firstLine="420"/>
        <w:jc w:val="left"/>
        <w:rPr>
          <w:rStyle w:val="43"/>
          <w:rFonts w:ascii="宋体" w:hAnsi="宋体" w:eastAsia="宋体" w:cs="宋体"/>
          <w:color w:val="auto"/>
          <w:sz w:val="24"/>
          <w:szCs w:val="21"/>
          <w:highlight w:val="none"/>
        </w:rPr>
      </w:pPr>
    </w:p>
    <w:p w14:paraId="5AD1767E">
      <w:pPr>
        <w:shd w:val="clear"/>
        <w:snapToGrid w:val="0"/>
        <w:spacing w:line="500" w:lineRule="exact"/>
        <w:ind w:firstLine="42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w:t>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 xml:space="preserve">               （供应商）法定代表人（签字或盖章）：</w:t>
      </w:r>
    </w:p>
    <w:p w14:paraId="4A1D6EA6">
      <w:pPr>
        <w:shd w:val="clear"/>
        <w:snapToGrid w:val="0"/>
        <w:spacing w:line="500" w:lineRule="exact"/>
        <w:ind w:left="1700" w:firstLine="425"/>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（供应商）公章：</w:t>
      </w:r>
    </w:p>
    <w:p w14:paraId="62BB62ED">
      <w:pPr>
        <w:shd w:val="clear"/>
        <w:snapToGrid w:val="0"/>
        <w:spacing w:line="500" w:lineRule="exact"/>
        <w:ind w:firstLine="42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年</w:t>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 xml:space="preserve">   月 </w:t>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 xml:space="preserve">  日</w:t>
      </w:r>
    </w:p>
    <w:p w14:paraId="5B3D0D29">
      <w:pPr>
        <w:shd w:val="clear"/>
        <w:snapToGrid w:val="0"/>
        <w:spacing w:line="440" w:lineRule="exact"/>
        <w:rPr>
          <w:rStyle w:val="43"/>
          <w:rFonts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textWrapping"/>
      </w:r>
    </w:p>
    <w:p w14:paraId="6500587E">
      <w:pPr>
        <w:shd w:val="clear"/>
        <w:snapToGrid w:val="0"/>
        <w:spacing w:line="440" w:lineRule="exact"/>
        <w:rPr>
          <w:rStyle w:val="43"/>
          <w:rFonts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rPr>
        <w:t>B商务技术响应文件（单独密封）</w:t>
      </w:r>
    </w:p>
    <w:p w14:paraId="67B6D8FB">
      <w:pPr>
        <w:shd w:val="clear"/>
        <w:snapToGrid w:val="0"/>
        <w:spacing w:line="440" w:lineRule="exact"/>
        <w:jc w:val="center"/>
        <w:rPr>
          <w:rStyle w:val="43"/>
          <w:rFonts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t>1.比选响应函（</w:t>
      </w:r>
      <w:r>
        <w:rPr>
          <w:rStyle w:val="43"/>
          <w:rFonts w:hint="eastAsia" w:ascii="宋体" w:hAnsi="宋体" w:eastAsia="宋体" w:cs="宋体"/>
          <w:b/>
          <w:bCs/>
          <w:color w:val="auto"/>
          <w:sz w:val="24"/>
          <w:szCs w:val="21"/>
          <w:highlight w:val="none"/>
          <w:u w:val="single" w:color="000000"/>
        </w:rPr>
        <w:t>格式不得变动</w:t>
      </w:r>
      <w:r>
        <w:rPr>
          <w:rStyle w:val="43"/>
          <w:rFonts w:hint="eastAsia" w:ascii="宋体" w:hAnsi="宋体" w:eastAsia="宋体" w:cs="宋体"/>
          <w:b/>
          <w:bCs/>
          <w:color w:val="auto"/>
          <w:sz w:val="24"/>
          <w:szCs w:val="21"/>
          <w:highlight w:val="none"/>
        </w:rPr>
        <w:t>）</w:t>
      </w:r>
    </w:p>
    <w:p w14:paraId="75CB5889">
      <w:pPr>
        <w:shd w:val="clear"/>
        <w:snapToGrid w:val="0"/>
        <w:spacing w:line="440" w:lineRule="exact"/>
        <w:jc w:val="left"/>
        <w:rPr>
          <w:rStyle w:val="43"/>
          <w:rFonts w:ascii="宋体" w:hAnsi="宋体" w:eastAsia="宋体" w:cs="宋体"/>
          <w:color w:val="auto"/>
          <w:sz w:val="24"/>
          <w:szCs w:val="21"/>
          <w:highlight w:val="none"/>
          <w:u w:val="single" w:color="000000"/>
        </w:rPr>
      </w:pPr>
    </w:p>
    <w:p w14:paraId="1598765B">
      <w:pPr>
        <w:shd w:val="clear"/>
        <w:snapToGrid w:val="0"/>
        <w:spacing w:line="440" w:lineRule="exact"/>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u w:val="single" w:color="000000"/>
        </w:rPr>
        <w:t xml:space="preserve">南通市疾病预防控制中心  </w:t>
      </w:r>
      <w:r>
        <w:rPr>
          <w:rStyle w:val="43"/>
          <w:rFonts w:hint="eastAsia" w:ascii="宋体" w:hAnsi="宋体" w:eastAsia="宋体" w:cs="宋体"/>
          <w:color w:val="auto"/>
          <w:sz w:val="24"/>
          <w:szCs w:val="21"/>
          <w:highlight w:val="none"/>
        </w:rPr>
        <w:t>：</w:t>
      </w:r>
    </w:p>
    <w:p w14:paraId="6C20B9A7">
      <w:pPr>
        <w:shd w:val="clear"/>
        <w:snapToGrid w:val="0"/>
        <w:spacing w:line="440" w:lineRule="exact"/>
        <w:ind w:firstLine="480" w:firstLineChars="200"/>
        <w:rPr>
          <w:rStyle w:val="43"/>
          <w:rFonts w:ascii="宋体" w:hAnsi="宋体" w:eastAsia="宋体" w:cs="宋体"/>
          <w:color w:val="auto"/>
          <w:sz w:val="24"/>
          <w:szCs w:val="21"/>
          <w:highlight w:val="none"/>
        </w:rPr>
      </w:pPr>
    </w:p>
    <w:p w14:paraId="6BB2E3DB">
      <w:pPr>
        <w:shd w:val="clear"/>
        <w:snapToGrid w:val="0"/>
        <w:spacing w:line="44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依据贵单位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（比选项目名称)项目比选采购的邀请，我方授权</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（姓名）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（职务）为全权代表参加该项目的比选工作，全权处理本次比选的有关事宜。同时，我公司声明如下：</w:t>
      </w:r>
    </w:p>
    <w:p w14:paraId="59444BD5">
      <w:pPr>
        <w:shd w:val="clear"/>
        <w:snapToGrid w:val="0"/>
        <w:spacing w:line="44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1.我方愿意按照比选文件的一切要求，提供完成该项目的全部内容，我方的报价</w:t>
      </w:r>
      <w:r>
        <w:rPr>
          <w:rStyle w:val="43"/>
          <w:rFonts w:hint="eastAsia" w:ascii="宋体" w:hAnsi="宋体" w:eastAsia="宋体" w:cs="宋体"/>
          <w:color w:val="auto"/>
          <w:sz w:val="24"/>
          <w:szCs w:val="24"/>
          <w:highlight w:val="none"/>
        </w:rPr>
        <w:t>应包含</w:t>
      </w:r>
      <w:r>
        <w:rPr>
          <w:rStyle w:val="43"/>
          <w:rFonts w:hint="eastAsia" w:ascii="宋体" w:hAnsi="宋体" w:eastAsia="宋体" w:cs="宋体"/>
          <w:color w:val="auto"/>
          <w:sz w:val="24"/>
          <w:szCs w:val="24"/>
          <w:highlight w:val="none"/>
          <w:lang w:val="en-US" w:eastAsia="zh-CN"/>
        </w:rPr>
        <w:t>设备的成本</w:t>
      </w:r>
      <w:r>
        <w:rPr>
          <w:rStyle w:val="43"/>
          <w:rFonts w:hint="eastAsia" w:ascii="宋体" w:hAnsi="宋体" w:eastAsia="宋体" w:cs="宋体"/>
          <w:color w:val="auto"/>
          <w:sz w:val="24"/>
          <w:szCs w:val="24"/>
          <w:highlight w:val="none"/>
        </w:rPr>
        <w:t>、利润、税金、市场材料价格风险费、政策性调整风险费等的所有费用；包装、运输、保险、装卸、搬运费、技术措施费、机械进出场费、保管费；安装调试费、主材及标准附件、备品备件、辅材、专用工具、技术资料、损耗、人工费、机械费、检测费、管理费、利润；</w:t>
      </w:r>
      <w:r>
        <w:rPr>
          <w:rStyle w:val="43"/>
          <w:rFonts w:hint="eastAsia" w:ascii="宋体" w:hAnsi="宋体" w:eastAsia="宋体" w:cs="宋体"/>
          <w:color w:val="auto"/>
          <w:sz w:val="24"/>
          <w:szCs w:val="24"/>
          <w:highlight w:val="none"/>
          <w:lang w:val="en-US" w:eastAsia="zh-CN"/>
        </w:rPr>
        <w:t>维护保养费、性能测试费、维修费、清洁费、工具费、辅材费、人工劳务费、零部件材料费、易耗品和设备重要部件的备件费；国家税务部门规定的各项税金；原材料的涨价及政策性调整等风险费；相关伴</w:t>
      </w:r>
      <w:r>
        <w:rPr>
          <w:rStyle w:val="43"/>
          <w:rFonts w:hint="eastAsia" w:ascii="宋体" w:hAnsi="宋体" w:eastAsia="宋体" w:cs="宋体"/>
          <w:color w:val="auto"/>
          <w:sz w:val="24"/>
          <w:szCs w:val="24"/>
          <w:highlight w:val="none"/>
        </w:rPr>
        <w:t>随服务以及质保、售后服务等一切费用；即本项目采购的标的物交付使用前的所有费用以及免费质保期内的服务费用等包含响应比选文件采购要求的所有费用</w:t>
      </w:r>
      <w:r>
        <w:rPr>
          <w:rStyle w:val="43"/>
          <w:rFonts w:hint="eastAsia" w:ascii="宋体" w:hAnsi="宋体" w:eastAsia="宋体" w:cs="宋体"/>
          <w:color w:val="auto"/>
          <w:sz w:val="24"/>
          <w:szCs w:val="21"/>
          <w:highlight w:val="none"/>
        </w:rPr>
        <w:t>。</w:t>
      </w:r>
    </w:p>
    <w:p w14:paraId="29DA708E">
      <w:pPr>
        <w:shd w:val="clear"/>
        <w:snapToGrid w:val="0"/>
        <w:spacing w:line="44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2.我方已经详细审查了全部比选文件，我方已完全清晰理解比选文件的要求，不存在任何含糊不清和误解之处，同意放弃对这些文件所提出的异议和质疑的权利。</w:t>
      </w:r>
    </w:p>
    <w:p w14:paraId="7753BC07">
      <w:pPr>
        <w:shd w:val="clear"/>
        <w:snapToGrid w:val="0"/>
        <w:spacing w:line="44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3.我方愿意提供采购人在比选文件中要求的所有资料。</w:t>
      </w:r>
    </w:p>
    <w:p w14:paraId="5689ACB1">
      <w:pPr>
        <w:shd w:val="clear"/>
        <w:snapToGrid w:val="0"/>
        <w:spacing w:line="44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4.我方承诺在本次比选响应中提供的一切文件，无论是原件还是复印件均真实有效，绝无任何虚假、伪造和夸大的成份。否则，愿承担相应的后果和法律责任。</w:t>
      </w:r>
    </w:p>
    <w:p w14:paraId="5AF55082">
      <w:pPr>
        <w:shd w:val="clear"/>
        <w:snapToGrid w:val="0"/>
        <w:spacing w:line="44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5.我方尊重评标小组所作的评定结果，同时也清楚理解到报价最低并非意味着必定获得中选资格。</w:t>
      </w:r>
    </w:p>
    <w:p w14:paraId="121F5E7B">
      <w:pPr>
        <w:shd w:val="clear"/>
        <w:snapToGrid w:val="0"/>
        <w:spacing w:line="440" w:lineRule="exact"/>
        <w:ind w:firstLine="480" w:firstLineChars="200"/>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6.一旦我方中选，我方将根据比选文件的规定，严格履行比选文件中规定的每一项要求，按期、按质、按量履行合同的义务。 </w:t>
      </w:r>
    </w:p>
    <w:p w14:paraId="27556CA0">
      <w:pPr>
        <w:shd w:val="clear"/>
        <w:snapToGrid w:val="0"/>
        <w:spacing w:line="440" w:lineRule="exact"/>
        <w:ind w:firstLine="2400" w:firstLineChars="1000"/>
        <w:jc w:val="right"/>
        <w:rPr>
          <w:rStyle w:val="43"/>
          <w:rFonts w:ascii="宋体" w:hAnsi="宋体" w:eastAsia="宋体" w:cs="宋体"/>
          <w:color w:val="auto"/>
          <w:sz w:val="24"/>
          <w:szCs w:val="21"/>
          <w:highlight w:val="none"/>
        </w:rPr>
      </w:pPr>
    </w:p>
    <w:p w14:paraId="21DE8A68">
      <w:pPr>
        <w:shd w:val="clear"/>
        <w:snapToGrid w:val="0"/>
        <w:spacing w:line="440" w:lineRule="exact"/>
        <w:ind w:firstLine="2400" w:firstLineChars="1000"/>
        <w:jc w:val="center"/>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供应商：</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（加盖公章）</w:t>
      </w:r>
    </w:p>
    <w:p w14:paraId="08A24E56">
      <w:pPr>
        <w:shd w:val="clear"/>
        <w:snapToGrid w:val="0"/>
        <w:spacing w:line="440" w:lineRule="exact"/>
        <w:ind w:firstLine="2400" w:firstLineChars="1000"/>
        <w:jc w:val="righ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法定代表人或被授权人：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（签字或盖章）</w:t>
      </w:r>
    </w:p>
    <w:p w14:paraId="7843944D">
      <w:pPr>
        <w:shd w:val="clear"/>
        <w:snapToGrid w:val="0"/>
        <w:spacing w:line="440" w:lineRule="exact"/>
        <w:jc w:val="right"/>
        <w:rPr>
          <w:rStyle w:val="43"/>
          <w:rFonts w:ascii="宋体" w:hAnsi="宋体" w:eastAsia="宋体" w:cs="宋体"/>
          <w:b/>
          <w:bCs/>
          <w:color w:val="auto"/>
          <w:sz w:val="24"/>
          <w:szCs w:val="21"/>
          <w:highlight w:val="none"/>
        </w:rPr>
      </w:pPr>
      <w:r>
        <w:rPr>
          <w:rStyle w:val="43"/>
          <w:rFonts w:hint="eastAsia" w:ascii="宋体" w:hAnsi="宋体" w:eastAsia="宋体" w:cs="宋体"/>
          <w:color w:val="auto"/>
          <w:sz w:val="24"/>
          <w:szCs w:val="21"/>
          <w:highlight w:val="none"/>
        </w:rPr>
        <w:t>年      月     日</w:t>
      </w:r>
    </w:p>
    <w:p w14:paraId="1F7D5D1E">
      <w:pPr>
        <w:shd w:val="clear"/>
        <w:snapToGrid w:val="0"/>
        <w:spacing w:after="120" w:line="440" w:lineRule="exact"/>
        <w:jc w:val="center"/>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br w:type="textWrapping"/>
      </w:r>
    </w:p>
    <w:p w14:paraId="74603E7B">
      <w:pPr>
        <w:shd w:val="clear"/>
        <w:snapToGrid w:val="0"/>
        <w:spacing w:after="120" w:line="440" w:lineRule="exact"/>
        <w:jc w:val="center"/>
        <w:rPr>
          <w:rStyle w:val="43"/>
          <w:rFonts w:ascii="宋体" w:hAnsi="宋体" w:eastAsia="宋体" w:cs="宋体"/>
          <w:b/>
          <w:bCs/>
          <w:color w:val="auto"/>
          <w:sz w:val="32"/>
          <w:szCs w:val="32"/>
          <w:highlight w:val="none"/>
          <w:lang w:val="zh-CN"/>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rPr>
        <w:t>2.商务</w:t>
      </w:r>
      <w:r>
        <w:rPr>
          <w:rStyle w:val="43"/>
          <w:rFonts w:hint="eastAsia" w:ascii="宋体" w:hAnsi="宋体" w:eastAsia="宋体" w:cs="宋体"/>
          <w:b/>
          <w:bCs/>
          <w:color w:val="auto"/>
          <w:szCs w:val="21"/>
          <w:highlight w:val="none"/>
        </w:rPr>
        <w:t>技术条款响应一览表</w:t>
      </w:r>
    </w:p>
    <w:p w14:paraId="30555484">
      <w:pPr>
        <w:shd w:val="clear"/>
        <w:snapToGrid w:val="0"/>
        <w:spacing w:after="120" w:line="440" w:lineRule="exact"/>
        <w:rPr>
          <w:rStyle w:val="43"/>
          <w:rFonts w:ascii="宋体" w:hAnsi="宋体" w:eastAsia="宋体" w:cs="宋体"/>
          <w:color w:val="auto"/>
          <w:szCs w:val="21"/>
          <w:highlight w:val="none"/>
        </w:rPr>
      </w:pPr>
      <w:r>
        <w:rPr>
          <w:rStyle w:val="43"/>
          <w:rFonts w:hint="eastAsia" w:ascii="宋体" w:hAnsi="宋体" w:eastAsia="宋体" w:cs="宋体"/>
          <w:color w:val="auto"/>
          <w:szCs w:val="21"/>
          <w:highlight w:val="none"/>
        </w:rPr>
        <w:t>项目名称：</w:t>
      </w:r>
    </w:p>
    <w:tbl>
      <w:tblPr>
        <w:tblStyle w:val="24"/>
        <w:tblW w:w="9035" w:type="dxa"/>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fixed"/>
        <w:tblCellMar>
          <w:top w:w="0" w:type="dxa"/>
          <w:left w:w="0" w:type="dxa"/>
          <w:bottom w:w="0" w:type="dxa"/>
          <w:right w:w="0" w:type="dxa"/>
        </w:tblCellMar>
      </w:tblPr>
      <w:tblGrid>
        <w:gridCol w:w="1358"/>
        <w:gridCol w:w="3987"/>
        <w:gridCol w:w="2308"/>
        <w:gridCol w:w="1382"/>
      </w:tblGrid>
      <w:tr w14:paraId="45EEE4CC">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809" w:hRule="atLeast"/>
          <w:jc w:val="center"/>
        </w:trPr>
        <w:tc>
          <w:tcPr>
            <w:tcW w:w="1358" w:type="dxa"/>
            <w:tcBorders>
              <w:top w:val="single" w:color="000000" w:sz="6" w:space="0"/>
              <w:left w:val="single" w:color="000000" w:sz="6" w:space="0"/>
              <w:bottom w:val="single" w:color="000000" w:sz="4" w:space="0"/>
              <w:right w:val="single" w:color="000000" w:sz="4" w:space="0"/>
            </w:tcBorders>
            <w:vAlign w:val="center"/>
          </w:tcPr>
          <w:p w14:paraId="4574E1FA">
            <w:pPr>
              <w:shd w:val="clear"/>
              <w:snapToGrid w:val="0"/>
              <w:spacing w:line="440" w:lineRule="exact"/>
              <w:jc w:val="center"/>
              <w:rPr>
                <w:rStyle w:val="43"/>
                <w:rFonts w:ascii="宋体" w:hAnsi="宋体" w:eastAsia="宋体" w:cs="宋体"/>
                <w:color w:val="auto"/>
                <w:szCs w:val="21"/>
                <w:highlight w:val="none"/>
              </w:rPr>
            </w:pPr>
            <w:r>
              <w:rPr>
                <w:rStyle w:val="43"/>
                <w:rFonts w:hint="eastAsia" w:ascii="宋体" w:hAnsi="宋体" w:eastAsia="宋体" w:cs="宋体"/>
                <w:color w:val="auto"/>
                <w:szCs w:val="21"/>
                <w:highlight w:val="none"/>
              </w:rPr>
              <w:t>序号</w:t>
            </w:r>
          </w:p>
        </w:tc>
        <w:tc>
          <w:tcPr>
            <w:tcW w:w="3987" w:type="dxa"/>
            <w:tcBorders>
              <w:top w:val="single" w:color="000000" w:sz="6" w:space="0"/>
              <w:left w:val="single" w:color="000000" w:sz="4" w:space="0"/>
              <w:bottom w:val="single" w:color="000000" w:sz="4" w:space="0"/>
              <w:right w:val="single" w:color="000000" w:sz="4" w:space="0"/>
            </w:tcBorders>
            <w:vAlign w:val="center"/>
          </w:tcPr>
          <w:p w14:paraId="694412B4">
            <w:pPr>
              <w:shd w:val="clear"/>
              <w:snapToGrid w:val="0"/>
              <w:spacing w:line="440" w:lineRule="exact"/>
              <w:jc w:val="center"/>
              <w:rPr>
                <w:rStyle w:val="43"/>
                <w:rFonts w:ascii="宋体" w:hAnsi="宋体" w:eastAsia="宋体" w:cs="宋体"/>
                <w:color w:val="auto"/>
                <w:szCs w:val="21"/>
                <w:highlight w:val="none"/>
              </w:rPr>
            </w:pPr>
            <w:r>
              <w:rPr>
                <w:rStyle w:val="43"/>
                <w:rFonts w:hint="eastAsia" w:ascii="宋体" w:hAnsi="宋体" w:eastAsia="宋体" w:cs="宋体"/>
                <w:color w:val="auto"/>
                <w:szCs w:val="21"/>
                <w:highlight w:val="none"/>
              </w:rPr>
              <w:t>比选文件的项目需求</w:t>
            </w:r>
          </w:p>
        </w:tc>
        <w:tc>
          <w:tcPr>
            <w:tcW w:w="2308" w:type="dxa"/>
            <w:tcBorders>
              <w:top w:val="single" w:color="000000" w:sz="6" w:space="0"/>
              <w:left w:val="single" w:color="000000" w:sz="4" w:space="0"/>
              <w:bottom w:val="single" w:color="000000" w:sz="4" w:space="0"/>
              <w:right w:val="single" w:color="000000" w:sz="4" w:space="0"/>
            </w:tcBorders>
            <w:vAlign w:val="center"/>
          </w:tcPr>
          <w:p w14:paraId="4E282825">
            <w:pPr>
              <w:shd w:val="clear"/>
              <w:snapToGrid w:val="0"/>
              <w:spacing w:line="440" w:lineRule="exact"/>
              <w:jc w:val="center"/>
              <w:rPr>
                <w:rStyle w:val="43"/>
                <w:rFonts w:ascii="宋体" w:hAnsi="宋体" w:eastAsia="宋体" w:cs="宋体"/>
                <w:color w:val="auto"/>
                <w:szCs w:val="21"/>
                <w:highlight w:val="none"/>
              </w:rPr>
            </w:pPr>
            <w:r>
              <w:rPr>
                <w:rStyle w:val="43"/>
                <w:rFonts w:hint="eastAsia" w:ascii="宋体" w:hAnsi="宋体" w:eastAsia="宋体" w:cs="宋体"/>
                <w:color w:val="auto"/>
                <w:szCs w:val="21"/>
                <w:highlight w:val="none"/>
              </w:rPr>
              <w:t>响应文件偏离情况</w:t>
            </w:r>
          </w:p>
        </w:tc>
        <w:tc>
          <w:tcPr>
            <w:tcW w:w="1382" w:type="dxa"/>
            <w:tcBorders>
              <w:top w:val="single" w:color="000000" w:sz="6" w:space="0"/>
              <w:left w:val="single" w:color="000000" w:sz="4" w:space="0"/>
              <w:bottom w:val="single" w:color="000000" w:sz="4" w:space="0"/>
              <w:right w:val="single" w:color="000000" w:sz="6" w:space="0"/>
            </w:tcBorders>
            <w:vAlign w:val="center"/>
          </w:tcPr>
          <w:p w14:paraId="116CD9ED">
            <w:pPr>
              <w:shd w:val="clear"/>
              <w:snapToGrid w:val="0"/>
              <w:spacing w:line="440" w:lineRule="exact"/>
              <w:jc w:val="center"/>
              <w:rPr>
                <w:rStyle w:val="43"/>
                <w:rFonts w:ascii="宋体" w:hAnsi="宋体" w:eastAsia="宋体" w:cs="宋体"/>
                <w:color w:val="auto"/>
                <w:szCs w:val="21"/>
                <w:highlight w:val="none"/>
              </w:rPr>
            </w:pPr>
            <w:r>
              <w:rPr>
                <w:rStyle w:val="43"/>
                <w:rFonts w:hint="eastAsia" w:ascii="宋体" w:hAnsi="宋体" w:eastAsia="宋体" w:cs="宋体"/>
                <w:color w:val="auto"/>
                <w:szCs w:val="21"/>
                <w:highlight w:val="none"/>
              </w:rPr>
              <w:t>说明</w:t>
            </w:r>
          </w:p>
        </w:tc>
      </w:tr>
      <w:tr w14:paraId="59C05AAE">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02ED4A35">
            <w:pPr>
              <w:shd w:val="clear"/>
              <w:snapToGrid w:val="0"/>
              <w:spacing w:before="108" w:after="108"/>
              <w:rPr>
                <w:rStyle w:val="43"/>
                <w:rFonts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75FDE201">
            <w:pPr>
              <w:shd w:val="clear"/>
              <w:snapToGrid w:val="0"/>
              <w:spacing w:before="108" w:after="108"/>
              <w:rPr>
                <w:rStyle w:val="43"/>
                <w:rFonts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4155C4AC">
            <w:pPr>
              <w:shd w:val="clear"/>
              <w:snapToGrid w:val="0"/>
              <w:spacing w:before="108" w:after="108"/>
              <w:rPr>
                <w:rStyle w:val="43"/>
                <w:rFonts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6BB27AB8">
            <w:pPr>
              <w:shd w:val="clear"/>
              <w:snapToGrid w:val="0"/>
              <w:spacing w:before="108" w:after="108"/>
              <w:rPr>
                <w:rStyle w:val="43"/>
                <w:rFonts w:ascii="宋体" w:hAnsi="宋体" w:eastAsia="宋体" w:cs="宋体"/>
                <w:color w:val="auto"/>
                <w:szCs w:val="21"/>
                <w:highlight w:val="none"/>
              </w:rPr>
            </w:pPr>
          </w:p>
        </w:tc>
      </w:tr>
      <w:tr w14:paraId="0DABD47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631999F8">
            <w:pPr>
              <w:shd w:val="clear"/>
              <w:snapToGrid w:val="0"/>
              <w:spacing w:before="108" w:after="108"/>
              <w:rPr>
                <w:rStyle w:val="43"/>
                <w:rFonts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64AF5F7A">
            <w:pPr>
              <w:shd w:val="clear"/>
              <w:snapToGrid w:val="0"/>
              <w:spacing w:before="108" w:after="108"/>
              <w:rPr>
                <w:rStyle w:val="43"/>
                <w:rFonts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1478B913">
            <w:pPr>
              <w:shd w:val="clear"/>
              <w:snapToGrid w:val="0"/>
              <w:spacing w:before="108" w:after="108"/>
              <w:rPr>
                <w:rStyle w:val="43"/>
                <w:rFonts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3DC35021">
            <w:pPr>
              <w:shd w:val="clear"/>
              <w:snapToGrid w:val="0"/>
              <w:spacing w:before="108" w:after="108"/>
              <w:rPr>
                <w:rStyle w:val="43"/>
                <w:rFonts w:ascii="宋体" w:hAnsi="宋体" w:eastAsia="宋体" w:cs="宋体"/>
                <w:color w:val="auto"/>
                <w:szCs w:val="21"/>
                <w:highlight w:val="none"/>
              </w:rPr>
            </w:pPr>
          </w:p>
        </w:tc>
      </w:tr>
      <w:tr w14:paraId="410A1C3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6D37EC51">
            <w:pPr>
              <w:shd w:val="clear"/>
              <w:snapToGrid w:val="0"/>
              <w:spacing w:before="108" w:after="108"/>
              <w:rPr>
                <w:rStyle w:val="43"/>
                <w:rFonts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79CDEB55">
            <w:pPr>
              <w:shd w:val="clear"/>
              <w:snapToGrid w:val="0"/>
              <w:spacing w:before="108" w:after="108"/>
              <w:rPr>
                <w:rStyle w:val="43"/>
                <w:rFonts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7599C9FD">
            <w:pPr>
              <w:shd w:val="clear"/>
              <w:snapToGrid w:val="0"/>
              <w:spacing w:before="108" w:after="108"/>
              <w:rPr>
                <w:rStyle w:val="43"/>
                <w:rFonts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109AB5AC">
            <w:pPr>
              <w:shd w:val="clear"/>
              <w:snapToGrid w:val="0"/>
              <w:spacing w:before="108" w:after="108"/>
              <w:rPr>
                <w:rStyle w:val="43"/>
                <w:rFonts w:ascii="宋体" w:hAnsi="宋体" w:eastAsia="宋体" w:cs="宋体"/>
                <w:color w:val="auto"/>
                <w:szCs w:val="21"/>
                <w:highlight w:val="none"/>
              </w:rPr>
            </w:pPr>
          </w:p>
        </w:tc>
      </w:tr>
      <w:tr w14:paraId="2473B54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09AA9754">
            <w:pPr>
              <w:shd w:val="clear"/>
              <w:snapToGrid w:val="0"/>
              <w:spacing w:before="108" w:after="108"/>
              <w:rPr>
                <w:rStyle w:val="43"/>
                <w:rFonts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6CAF445B">
            <w:pPr>
              <w:shd w:val="clear"/>
              <w:snapToGrid w:val="0"/>
              <w:spacing w:before="108" w:after="108"/>
              <w:rPr>
                <w:rStyle w:val="43"/>
                <w:rFonts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0A78003D">
            <w:pPr>
              <w:shd w:val="clear"/>
              <w:snapToGrid w:val="0"/>
              <w:spacing w:before="108" w:after="108"/>
              <w:rPr>
                <w:rStyle w:val="43"/>
                <w:rFonts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7A4A8809">
            <w:pPr>
              <w:shd w:val="clear"/>
              <w:snapToGrid w:val="0"/>
              <w:spacing w:before="108" w:after="108"/>
              <w:rPr>
                <w:rStyle w:val="43"/>
                <w:rFonts w:ascii="宋体" w:hAnsi="宋体" w:eastAsia="宋体" w:cs="宋体"/>
                <w:color w:val="auto"/>
                <w:szCs w:val="21"/>
                <w:highlight w:val="none"/>
              </w:rPr>
            </w:pPr>
          </w:p>
        </w:tc>
      </w:tr>
      <w:tr w14:paraId="1B8F69F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69AFDACB">
            <w:pPr>
              <w:shd w:val="clear"/>
              <w:snapToGrid w:val="0"/>
              <w:spacing w:before="108" w:after="108"/>
              <w:rPr>
                <w:rStyle w:val="43"/>
                <w:rFonts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132C6A24">
            <w:pPr>
              <w:shd w:val="clear"/>
              <w:snapToGrid w:val="0"/>
              <w:spacing w:before="108" w:after="108"/>
              <w:rPr>
                <w:rStyle w:val="43"/>
                <w:rFonts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25490782">
            <w:pPr>
              <w:shd w:val="clear"/>
              <w:snapToGrid w:val="0"/>
              <w:spacing w:before="108" w:after="108"/>
              <w:rPr>
                <w:rStyle w:val="43"/>
                <w:rFonts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5F80DD37">
            <w:pPr>
              <w:shd w:val="clear"/>
              <w:snapToGrid w:val="0"/>
              <w:spacing w:before="108" w:after="108"/>
              <w:rPr>
                <w:rStyle w:val="43"/>
                <w:rFonts w:ascii="宋体" w:hAnsi="宋体" w:eastAsia="宋体" w:cs="宋体"/>
                <w:color w:val="auto"/>
                <w:szCs w:val="21"/>
                <w:highlight w:val="none"/>
              </w:rPr>
            </w:pPr>
          </w:p>
        </w:tc>
      </w:tr>
      <w:tr w14:paraId="548A2F5F">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6" w:space="0"/>
              <w:right w:val="single" w:color="000000" w:sz="4" w:space="0"/>
            </w:tcBorders>
            <w:vAlign w:val="center"/>
          </w:tcPr>
          <w:p w14:paraId="52B28409">
            <w:pPr>
              <w:shd w:val="clear"/>
              <w:snapToGrid w:val="0"/>
              <w:spacing w:before="108" w:after="108"/>
              <w:rPr>
                <w:rStyle w:val="43"/>
                <w:rFonts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6" w:space="0"/>
              <w:right w:val="single" w:color="000000" w:sz="4" w:space="0"/>
            </w:tcBorders>
            <w:vAlign w:val="center"/>
          </w:tcPr>
          <w:p w14:paraId="0B1D2717">
            <w:pPr>
              <w:shd w:val="clear"/>
              <w:snapToGrid w:val="0"/>
              <w:spacing w:before="108" w:after="108"/>
              <w:rPr>
                <w:rStyle w:val="43"/>
                <w:rFonts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6" w:space="0"/>
              <w:right w:val="single" w:color="000000" w:sz="4" w:space="0"/>
            </w:tcBorders>
            <w:vAlign w:val="center"/>
          </w:tcPr>
          <w:p w14:paraId="40DB8C06">
            <w:pPr>
              <w:shd w:val="clear"/>
              <w:snapToGrid w:val="0"/>
              <w:spacing w:before="108" w:after="108"/>
              <w:rPr>
                <w:rStyle w:val="43"/>
                <w:rFonts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6" w:space="0"/>
              <w:right w:val="single" w:color="000000" w:sz="6" w:space="0"/>
            </w:tcBorders>
            <w:vAlign w:val="center"/>
          </w:tcPr>
          <w:p w14:paraId="628724A7">
            <w:pPr>
              <w:shd w:val="clear"/>
              <w:snapToGrid w:val="0"/>
              <w:spacing w:before="108" w:after="108"/>
              <w:rPr>
                <w:rStyle w:val="43"/>
                <w:rFonts w:ascii="宋体" w:hAnsi="宋体" w:eastAsia="宋体" w:cs="宋体"/>
                <w:color w:val="auto"/>
                <w:szCs w:val="21"/>
                <w:highlight w:val="none"/>
              </w:rPr>
            </w:pPr>
          </w:p>
        </w:tc>
      </w:tr>
    </w:tbl>
    <w:p w14:paraId="6C1D64EE">
      <w:pPr>
        <w:shd w:val="clear"/>
        <w:tabs>
          <w:tab w:val="left" w:pos="318"/>
        </w:tabs>
        <w:snapToGrid w:val="0"/>
        <w:spacing w:line="400" w:lineRule="exact"/>
        <w:ind w:left="525" w:hanging="525"/>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注：</w:t>
      </w:r>
    </w:p>
    <w:p w14:paraId="179161C3">
      <w:pPr>
        <w:numPr>
          <w:ilvl w:val="0"/>
          <w:numId w:val="7"/>
        </w:numPr>
        <w:shd w:val="clear"/>
        <w:tabs>
          <w:tab w:val="left" w:pos="318"/>
        </w:tabs>
        <w:snapToGrid w:val="0"/>
        <w:spacing w:line="276" w:lineRule="auto"/>
        <w:ind w:left="525" w:hanging="525"/>
        <w:jc w:val="left"/>
        <w:rPr>
          <w:rStyle w:val="43"/>
          <w:rFonts w:ascii="宋体" w:hAnsi="宋体" w:eastAsia="宋体" w:cs="宋体"/>
          <w:bCs/>
          <w:color w:val="auto"/>
          <w:sz w:val="21"/>
          <w:szCs w:val="21"/>
          <w:highlight w:val="none"/>
          <w:lang w:val="zh-CN"/>
        </w:rPr>
      </w:pPr>
      <w:r>
        <w:rPr>
          <w:rStyle w:val="43"/>
          <w:rFonts w:hint="eastAsia" w:ascii="宋体" w:hAnsi="宋体" w:eastAsia="宋体" w:cs="宋体"/>
          <w:bCs/>
          <w:color w:val="auto"/>
          <w:sz w:val="21"/>
          <w:szCs w:val="21"/>
          <w:highlight w:val="none"/>
        </w:rPr>
        <w:t>供应商</w:t>
      </w:r>
      <w:r>
        <w:rPr>
          <w:rStyle w:val="43"/>
          <w:rFonts w:hint="eastAsia" w:ascii="宋体" w:hAnsi="宋体" w:eastAsia="宋体" w:cs="宋体"/>
          <w:color w:val="auto"/>
          <w:sz w:val="21"/>
          <w:szCs w:val="21"/>
          <w:highlight w:val="none"/>
        </w:rPr>
        <w:t>应对比选文件中的</w:t>
      </w:r>
      <w:r>
        <w:rPr>
          <w:rStyle w:val="43"/>
          <w:rFonts w:hint="eastAsia" w:ascii="宋体" w:hAnsi="宋体" w:eastAsia="宋体" w:cs="宋体"/>
          <w:b/>
          <w:bCs/>
          <w:color w:val="auto"/>
          <w:sz w:val="21"/>
          <w:szCs w:val="21"/>
          <w:highlight w:val="none"/>
        </w:rPr>
        <w:t>“第三章项目需求”</w:t>
      </w:r>
      <w:r>
        <w:rPr>
          <w:rStyle w:val="43"/>
          <w:rFonts w:hint="eastAsia" w:ascii="宋体" w:hAnsi="宋体" w:eastAsia="宋体" w:cs="宋体"/>
          <w:color w:val="auto"/>
          <w:sz w:val="21"/>
          <w:szCs w:val="21"/>
          <w:highlight w:val="none"/>
        </w:rPr>
        <w:t>进行偏离说明，填写</w:t>
      </w:r>
      <w:r>
        <w:rPr>
          <w:rStyle w:val="43"/>
          <w:rFonts w:hint="eastAsia" w:ascii="宋体" w:hAnsi="宋体" w:eastAsia="宋体" w:cs="宋体"/>
          <w:b/>
          <w:bCs/>
          <w:color w:val="auto"/>
          <w:sz w:val="21"/>
          <w:szCs w:val="21"/>
          <w:highlight w:val="none"/>
        </w:rPr>
        <w:t>商务技术条款响应一览表</w:t>
      </w:r>
      <w:r>
        <w:rPr>
          <w:rStyle w:val="43"/>
          <w:rFonts w:hint="eastAsia" w:ascii="宋体" w:hAnsi="宋体" w:eastAsia="宋体" w:cs="宋体"/>
          <w:b/>
          <w:color w:val="auto"/>
          <w:sz w:val="21"/>
          <w:szCs w:val="21"/>
          <w:highlight w:val="none"/>
        </w:rPr>
        <w:t>。</w:t>
      </w:r>
      <w:r>
        <w:rPr>
          <w:rStyle w:val="43"/>
          <w:rFonts w:hint="eastAsia" w:ascii="宋体" w:hAnsi="宋体" w:eastAsia="宋体" w:cs="宋体"/>
          <w:bCs/>
          <w:color w:val="auto"/>
          <w:sz w:val="21"/>
          <w:szCs w:val="21"/>
          <w:highlight w:val="none"/>
          <w:lang w:val="zh-CN"/>
        </w:rPr>
        <w:t>不完全响应的，必须在偏离表中列示；列示不全的，视同故意隐瞒。</w:t>
      </w:r>
    </w:p>
    <w:p w14:paraId="7F7DEE1B">
      <w:pPr>
        <w:shd w:val="clear"/>
        <w:snapToGrid w:val="0"/>
        <w:spacing w:line="276" w:lineRule="auto"/>
        <w:ind w:left="525" w:hanging="525"/>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（2）偏离包括正、负偏离，正偏离指</w:t>
      </w:r>
      <w:r>
        <w:rPr>
          <w:rStyle w:val="43"/>
          <w:rFonts w:hint="eastAsia" w:ascii="宋体" w:hAnsi="宋体" w:eastAsia="宋体" w:cs="宋体"/>
          <w:bCs/>
          <w:color w:val="auto"/>
          <w:sz w:val="21"/>
          <w:szCs w:val="21"/>
          <w:highlight w:val="none"/>
        </w:rPr>
        <w:t>供应商</w:t>
      </w:r>
      <w:r>
        <w:rPr>
          <w:rStyle w:val="43"/>
          <w:rFonts w:hint="eastAsia" w:ascii="宋体" w:hAnsi="宋体" w:eastAsia="宋体" w:cs="宋体"/>
          <w:color w:val="auto"/>
          <w:sz w:val="21"/>
          <w:szCs w:val="21"/>
          <w:highlight w:val="none"/>
        </w:rPr>
        <w:t>的响应高于比选文件要求，负偏离指供应商的响应低于比选文件要求。如无偏离，请在表中填写</w:t>
      </w:r>
      <w:r>
        <w:rPr>
          <w:rStyle w:val="43"/>
          <w:rFonts w:hint="eastAsia" w:ascii="宋体" w:hAnsi="宋体" w:eastAsia="宋体" w:cs="宋体"/>
          <w:b/>
          <w:color w:val="auto"/>
          <w:sz w:val="21"/>
          <w:szCs w:val="21"/>
          <w:highlight w:val="none"/>
        </w:rPr>
        <w:t>“无偏离”或“全部满足要求”</w:t>
      </w:r>
      <w:r>
        <w:rPr>
          <w:rStyle w:val="43"/>
          <w:rFonts w:hint="eastAsia" w:ascii="宋体" w:hAnsi="宋体" w:eastAsia="宋体" w:cs="宋体"/>
          <w:color w:val="auto"/>
          <w:sz w:val="21"/>
          <w:szCs w:val="21"/>
          <w:highlight w:val="none"/>
        </w:rPr>
        <w:t>，即表明</w:t>
      </w:r>
      <w:r>
        <w:rPr>
          <w:rStyle w:val="43"/>
          <w:rFonts w:hint="eastAsia" w:ascii="宋体" w:hAnsi="宋体" w:eastAsia="宋体" w:cs="宋体"/>
          <w:bCs/>
          <w:color w:val="auto"/>
          <w:sz w:val="21"/>
          <w:szCs w:val="21"/>
          <w:highlight w:val="none"/>
        </w:rPr>
        <w:t>供应商</w:t>
      </w:r>
      <w:r>
        <w:rPr>
          <w:rStyle w:val="43"/>
          <w:rFonts w:hint="eastAsia" w:ascii="宋体" w:hAnsi="宋体" w:eastAsia="宋体" w:cs="宋体"/>
          <w:color w:val="auto"/>
          <w:sz w:val="21"/>
          <w:szCs w:val="21"/>
          <w:highlight w:val="none"/>
        </w:rPr>
        <w:t>接受比选文件中的所有条款。</w:t>
      </w:r>
    </w:p>
    <w:p w14:paraId="28B14AB9">
      <w:pPr>
        <w:shd w:val="clear"/>
        <w:snapToGrid w:val="0"/>
        <w:spacing w:line="276" w:lineRule="auto"/>
        <w:ind w:left="525" w:hanging="525"/>
        <w:rPr>
          <w:rStyle w:val="43"/>
          <w:rFonts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（3）此表所填内容为供应商根据项目需求偏离的所有内容，其他未填内容，均表明供应商满足比选文件的要求。</w:t>
      </w:r>
    </w:p>
    <w:p w14:paraId="1FB928DD">
      <w:pPr>
        <w:shd w:val="clear"/>
        <w:snapToGrid w:val="0"/>
        <w:spacing w:line="276" w:lineRule="auto"/>
        <w:ind w:left="525" w:hanging="525"/>
        <w:rPr>
          <w:rStyle w:val="43"/>
          <w:rFonts w:ascii="宋体" w:hAnsi="宋体" w:eastAsia="宋体" w:cs="宋体"/>
          <w:b/>
          <w:bCs/>
          <w:color w:val="auto"/>
          <w:sz w:val="21"/>
          <w:szCs w:val="21"/>
          <w:highlight w:val="none"/>
        </w:rPr>
      </w:pPr>
      <w:r>
        <w:rPr>
          <w:rStyle w:val="43"/>
          <w:rFonts w:hint="eastAsia" w:ascii="宋体" w:hAnsi="宋体" w:eastAsia="宋体" w:cs="宋体"/>
          <w:b/>
          <w:bCs/>
          <w:color w:val="auto"/>
          <w:sz w:val="21"/>
          <w:szCs w:val="21"/>
          <w:highlight w:val="none"/>
        </w:rPr>
        <w:t>（4）其他参数请提供相关证明材料佐证。</w:t>
      </w:r>
    </w:p>
    <w:p w14:paraId="353FCBCB">
      <w:pPr>
        <w:shd w:val="clear"/>
        <w:snapToGrid w:val="0"/>
        <w:jc w:val="left"/>
        <w:rPr>
          <w:rStyle w:val="43"/>
          <w:rFonts w:ascii="宋体" w:hAnsi="宋体" w:eastAsia="宋体" w:cs="宋体"/>
          <w:color w:val="auto"/>
          <w:szCs w:val="21"/>
          <w:highlight w:val="none"/>
          <w:u w:val="single"/>
        </w:rPr>
      </w:pPr>
      <w:r>
        <w:rPr>
          <w:rStyle w:val="43"/>
          <w:rFonts w:hint="eastAsia" w:ascii="宋体" w:hAnsi="宋体" w:eastAsia="宋体" w:cs="宋体"/>
          <w:color w:val="auto"/>
          <w:szCs w:val="21"/>
          <w:highlight w:val="none"/>
        </w:rPr>
        <w:t>供应商（盖章）：</w:t>
      </w:r>
    </w:p>
    <w:p w14:paraId="3496CAEF">
      <w:pPr>
        <w:shd w:val="clear"/>
        <w:snapToGrid w:val="0"/>
        <w:jc w:val="left"/>
        <w:rPr>
          <w:rStyle w:val="43"/>
          <w:rFonts w:ascii="宋体" w:hAnsi="宋体" w:eastAsia="宋体" w:cs="宋体"/>
          <w:color w:val="auto"/>
          <w:szCs w:val="21"/>
          <w:highlight w:val="none"/>
        </w:rPr>
      </w:pPr>
      <w:r>
        <w:rPr>
          <w:rStyle w:val="43"/>
          <w:rFonts w:hint="eastAsia" w:ascii="宋体" w:hAnsi="宋体" w:eastAsia="宋体" w:cs="宋体"/>
          <w:color w:val="auto"/>
          <w:szCs w:val="21"/>
          <w:highlight w:val="none"/>
        </w:rPr>
        <w:t>法定代表人或其委托代理人：（签字或盖章）</w:t>
      </w:r>
    </w:p>
    <w:p w14:paraId="663EF610">
      <w:pPr>
        <w:shd w:val="clear"/>
        <w:snapToGrid w:val="0"/>
        <w:jc w:val="left"/>
        <w:rPr>
          <w:rStyle w:val="43"/>
          <w:rFonts w:ascii="宋体" w:hAnsi="宋体" w:eastAsia="宋体" w:cs="宋体"/>
          <w:color w:val="auto"/>
          <w:szCs w:val="21"/>
          <w:highlight w:val="none"/>
        </w:rPr>
      </w:pPr>
      <w:r>
        <w:rPr>
          <w:rStyle w:val="43"/>
          <w:rFonts w:hint="eastAsia" w:ascii="宋体" w:hAnsi="宋体" w:eastAsia="宋体" w:cs="宋体"/>
          <w:color w:val="auto"/>
          <w:szCs w:val="21"/>
          <w:highlight w:val="none"/>
        </w:rPr>
        <w:t>日期：  年  月  日</w:t>
      </w:r>
    </w:p>
    <w:p w14:paraId="77BB2011">
      <w:pPr>
        <w:shd w:val="clear"/>
        <w:snapToGrid w:val="0"/>
        <w:rPr>
          <w:rStyle w:val="43"/>
          <w:rFonts w:ascii="宋体" w:hAnsi="宋体" w:eastAsia="宋体" w:cs="宋体"/>
          <w:color w:val="auto"/>
          <w:highlight w:val="none"/>
        </w:rPr>
      </w:pPr>
    </w:p>
    <w:p w14:paraId="20C3C616">
      <w:pPr>
        <w:shd w:val="clear"/>
        <w:snapToGrid w:val="0"/>
        <w:spacing w:line="700" w:lineRule="exact"/>
        <w:jc w:val="left"/>
        <w:rPr>
          <w:rStyle w:val="43"/>
          <w:rFonts w:ascii="宋体" w:hAnsi="宋体" w:eastAsia="宋体" w:cs="宋体"/>
          <w:b/>
          <w:bCs/>
          <w:color w:val="auto"/>
          <w:sz w:val="24"/>
          <w:szCs w:val="21"/>
          <w:highlight w:val="none"/>
        </w:rPr>
      </w:pPr>
    </w:p>
    <w:p w14:paraId="196BBE2F">
      <w:pPr>
        <w:shd w:val="clear"/>
        <w:snapToGrid w:val="0"/>
        <w:spacing w:line="700" w:lineRule="exact"/>
        <w:jc w:val="left"/>
        <w:rPr>
          <w:rStyle w:val="43"/>
          <w:rFonts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rPr>
        <w:t>C报价响应文件（单独密封）</w:t>
      </w:r>
    </w:p>
    <w:p w14:paraId="2F13AF95">
      <w:pPr>
        <w:shd w:val="clear"/>
        <w:snapToGrid w:val="0"/>
        <w:spacing w:line="50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lang w:eastAsia="zh-CN"/>
        </w:rPr>
        <w:t>1.</w:t>
      </w:r>
      <w:r>
        <w:rPr>
          <w:rStyle w:val="43"/>
          <w:rFonts w:hint="eastAsia" w:ascii="宋体" w:hAnsi="宋体" w:eastAsia="宋体" w:cs="宋体"/>
          <w:b/>
          <w:bCs/>
          <w:color w:val="auto"/>
          <w:sz w:val="24"/>
          <w:szCs w:val="21"/>
          <w:highlight w:val="none"/>
          <w:lang w:val="en-US" w:eastAsia="zh-CN"/>
        </w:rPr>
        <w:t>比选</w:t>
      </w:r>
      <w:r>
        <w:rPr>
          <w:rStyle w:val="43"/>
          <w:rFonts w:hint="eastAsia" w:ascii="宋体" w:hAnsi="宋体" w:eastAsia="宋体" w:cs="宋体"/>
          <w:b/>
          <w:bCs/>
          <w:color w:val="auto"/>
          <w:sz w:val="24"/>
          <w:szCs w:val="21"/>
          <w:highlight w:val="none"/>
        </w:rPr>
        <w:t>响应报价表</w:t>
      </w:r>
    </w:p>
    <w:p w14:paraId="7C9529D4">
      <w:pPr>
        <w:shd w:val="clear"/>
        <w:snapToGrid w:val="0"/>
        <w:spacing w:line="500" w:lineRule="exact"/>
        <w:rPr>
          <w:rStyle w:val="43"/>
          <w:rFonts w:hint="eastAsia" w:ascii="宋体" w:hAnsi="宋体" w:eastAsia="宋体" w:cs="宋体"/>
          <w:color w:val="auto"/>
          <w:sz w:val="24"/>
          <w:szCs w:val="21"/>
          <w:highlight w:val="none"/>
        </w:rPr>
      </w:pPr>
    </w:p>
    <w:tbl>
      <w:tblPr>
        <w:tblStyle w:val="24"/>
        <w:tblW w:w="99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899"/>
        <w:gridCol w:w="5060"/>
      </w:tblGrid>
      <w:tr w14:paraId="1E26F9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exact"/>
          <w:jc w:val="center"/>
        </w:trPr>
        <w:tc>
          <w:tcPr>
            <w:tcW w:w="4899" w:type="dxa"/>
            <w:tcBorders>
              <w:top w:val="single" w:color="000000" w:sz="4" w:space="0"/>
              <w:left w:val="single" w:color="000000" w:sz="4" w:space="0"/>
              <w:bottom w:val="single" w:color="000000" w:sz="4" w:space="0"/>
              <w:right w:val="single" w:color="000000" w:sz="4" w:space="0"/>
            </w:tcBorders>
            <w:vAlign w:val="center"/>
          </w:tcPr>
          <w:p w14:paraId="69EFB8D8">
            <w:pPr>
              <w:shd w:val="clear"/>
              <w:snapToGrid w:val="0"/>
              <w:spacing w:line="520" w:lineRule="exact"/>
              <w:ind w:left="1" w:firstLine="27" w:firstLineChars="11"/>
              <w:jc w:val="center"/>
              <w:textAlignment w:val="bottom"/>
              <w:rPr>
                <w:rStyle w:val="43"/>
                <w:rFonts w:hint="eastAsia" w:ascii="宋体" w:hAnsi="宋体" w:eastAsia="宋体" w:cs="宋体"/>
                <w:b/>
                <w:color w:val="auto"/>
                <w:kern w:val="0"/>
                <w:sz w:val="24"/>
                <w:szCs w:val="24"/>
                <w:highlight w:val="none"/>
              </w:rPr>
            </w:pPr>
            <w:r>
              <w:rPr>
                <w:rStyle w:val="43"/>
                <w:rFonts w:hint="eastAsia" w:ascii="宋体" w:hAnsi="宋体" w:eastAsia="宋体" w:cs="宋体"/>
                <w:b/>
                <w:color w:val="auto"/>
                <w:kern w:val="0"/>
                <w:sz w:val="24"/>
                <w:szCs w:val="24"/>
                <w:highlight w:val="none"/>
              </w:rPr>
              <w:t>项目名称</w:t>
            </w:r>
          </w:p>
        </w:tc>
        <w:tc>
          <w:tcPr>
            <w:tcW w:w="5060" w:type="dxa"/>
            <w:tcBorders>
              <w:top w:val="single" w:color="000000" w:sz="4" w:space="0"/>
              <w:left w:val="single" w:color="000000" w:sz="4" w:space="0"/>
              <w:bottom w:val="single" w:color="000000" w:sz="4" w:space="0"/>
              <w:right w:val="single" w:color="000000" w:sz="4" w:space="0"/>
            </w:tcBorders>
            <w:vAlign w:val="center"/>
          </w:tcPr>
          <w:p w14:paraId="5244552D">
            <w:pPr>
              <w:shd w:val="clear"/>
              <w:snapToGrid w:val="0"/>
              <w:spacing w:line="520" w:lineRule="exact"/>
              <w:ind w:left="1" w:firstLine="27" w:firstLineChars="11"/>
              <w:jc w:val="center"/>
              <w:textAlignment w:val="bottom"/>
              <w:rPr>
                <w:rStyle w:val="43"/>
                <w:rFonts w:hint="eastAsia" w:ascii="宋体" w:hAnsi="宋体" w:eastAsia="宋体" w:cs="宋体"/>
                <w:b/>
                <w:color w:val="auto"/>
                <w:kern w:val="0"/>
                <w:sz w:val="24"/>
                <w:szCs w:val="24"/>
                <w:highlight w:val="none"/>
              </w:rPr>
            </w:pPr>
            <w:r>
              <w:rPr>
                <w:rStyle w:val="43"/>
                <w:rFonts w:hint="eastAsia" w:ascii="宋体" w:hAnsi="宋体" w:eastAsia="宋体" w:cs="宋体"/>
                <w:b/>
                <w:color w:val="auto"/>
                <w:sz w:val="24"/>
                <w:szCs w:val="24"/>
                <w:highlight w:val="none"/>
              </w:rPr>
              <w:t>投标报价</w:t>
            </w:r>
          </w:p>
        </w:tc>
      </w:tr>
      <w:tr w14:paraId="6D232C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exact"/>
          <w:jc w:val="center"/>
        </w:trPr>
        <w:tc>
          <w:tcPr>
            <w:tcW w:w="4899" w:type="dxa"/>
            <w:tcBorders>
              <w:top w:val="single" w:color="000000" w:sz="4" w:space="0"/>
              <w:left w:val="single" w:color="000000" w:sz="4" w:space="0"/>
              <w:bottom w:val="single" w:color="000000" w:sz="4" w:space="0"/>
              <w:right w:val="single" w:color="000000" w:sz="4" w:space="0"/>
            </w:tcBorders>
            <w:vAlign w:val="center"/>
          </w:tcPr>
          <w:p w14:paraId="7A723F7F">
            <w:pPr>
              <w:shd w:val="clear"/>
              <w:snapToGrid w:val="0"/>
              <w:jc w:val="center"/>
              <w:rPr>
                <w:rStyle w:val="43"/>
                <w:rFonts w:hint="eastAsia" w:ascii="宋体" w:hAnsi="宋体" w:eastAsia="宋体" w:cs="宋体"/>
                <w:color w:val="auto"/>
                <w:kern w:val="0"/>
                <w:sz w:val="20"/>
                <w:highlight w:val="none"/>
              </w:rPr>
            </w:pPr>
          </w:p>
        </w:tc>
        <w:tc>
          <w:tcPr>
            <w:tcW w:w="5060" w:type="dxa"/>
            <w:tcBorders>
              <w:top w:val="single" w:color="000000" w:sz="4" w:space="0"/>
              <w:left w:val="single" w:color="000000" w:sz="4" w:space="0"/>
              <w:bottom w:val="single" w:color="000000" w:sz="4" w:space="0"/>
              <w:right w:val="single" w:color="000000" w:sz="4" w:space="0"/>
            </w:tcBorders>
            <w:vAlign w:val="center"/>
          </w:tcPr>
          <w:p w14:paraId="59113CD0">
            <w:pPr>
              <w:shd w:val="clear"/>
              <w:snapToGrid w:val="0"/>
              <w:jc w:val="center"/>
              <w:rPr>
                <w:rStyle w:val="43"/>
                <w:rFonts w:hint="default" w:ascii="宋体" w:hAnsi="宋体" w:eastAsia="宋体" w:cs="宋体"/>
                <w:color w:val="auto"/>
                <w:kern w:val="0"/>
                <w:sz w:val="20"/>
                <w:highlight w:val="none"/>
                <w:lang w:val="en-US" w:eastAsia="zh-CN"/>
              </w:rPr>
            </w:pPr>
            <w:r>
              <w:rPr>
                <w:rStyle w:val="43"/>
                <w:rFonts w:hint="eastAsia" w:ascii="宋体" w:hAnsi="宋体" w:eastAsia="宋体" w:cs="宋体"/>
                <w:color w:val="auto"/>
                <w:kern w:val="0"/>
                <w:sz w:val="20"/>
                <w:highlight w:val="none"/>
              </w:rPr>
              <w:t>_________________元</w:t>
            </w:r>
          </w:p>
          <w:p w14:paraId="7E9160E6">
            <w:pPr>
              <w:shd w:val="clear"/>
              <w:snapToGrid w:val="0"/>
              <w:jc w:val="center"/>
              <w:rPr>
                <w:rStyle w:val="43"/>
                <w:rFonts w:hint="eastAsia" w:ascii="宋体" w:hAnsi="宋体" w:eastAsia="宋体" w:cs="宋体"/>
                <w:color w:val="auto"/>
                <w:kern w:val="0"/>
                <w:sz w:val="20"/>
                <w:highlight w:val="none"/>
              </w:rPr>
            </w:pPr>
            <w:r>
              <w:rPr>
                <w:rStyle w:val="43"/>
                <w:rFonts w:hint="eastAsia" w:ascii="宋体" w:hAnsi="宋体" w:eastAsia="宋体" w:cs="宋体"/>
                <w:color w:val="auto"/>
                <w:kern w:val="0"/>
                <w:sz w:val="20"/>
                <w:highlight w:val="none"/>
              </w:rPr>
              <w:t>（人民币大写：__________）</w:t>
            </w:r>
          </w:p>
        </w:tc>
      </w:tr>
    </w:tbl>
    <w:p w14:paraId="4B5EE48E">
      <w:pPr>
        <w:shd w:val="clear"/>
        <w:snapToGrid w:val="0"/>
        <w:spacing w:line="500" w:lineRule="exact"/>
        <w:rPr>
          <w:rStyle w:val="43"/>
          <w:rFonts w:hint="eastAsia" w:ascii="宋体" w:hAnsi="宋体" w:eastAsia="宋体" w:cs="宋体"/>
          <w:color w:val="auto"/>
          <w:sz w:val="24"/>
          <w:szCs w:val="21"/>
          <w:highlight w:val="none"/>
        </w:rPr>
      </w:pPr>
    </w:p>
    <w:p w14:paraId="48BC8706">
      <w:pPr>
        <w:shd w:val="clea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供应商：（盖章）             </w:t>
      </w:r>
    </w:p>
    <w:p w14:paraId="1335CFBC">
      <w:pPr>
        <w:shd w:val="clea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法定代表人或被授权人（签字或盖章）：</w:t>
      </w:r>
    </w:p>
    <w:p w14:paraId="7D24DC8B">
      <w:pPr>
        <w:shd w:val="clea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日期：</w:t>
      </w:r>
    </w:p>
    <w:p w14:paraId="72ABEF6F">
      <w:pPr>
        <w:shd w:val="clear"/>
        <w:rPr>
          <w:rStyle w:val="43"/>
          <w:rFonts w:ascii="宋体" w:hAnsi="宋体" w:eastAsia="宋体" w:cs="宋体"/>
          <w:b/>
          <w:bCs/>
          <w:color w:val="auto"/>
          <w:sz w:val="24"/>
          <w:szCs w:val="21"/>
          <w:highlight w:val="none"/>
        </w:rPr>
      </w:pPr>
      <w:r>
        <w:rPr>
          <w:rStyle w:val="43"/>
          <w:rFonts w:ascii="宋体" w:hAnsi="宋体" w:eastAsia="宋体" w:cs="宋体"/>
          <w:b/>
          <w:bCs/>
          <w:color w:val="auto"/>
          <w:sz w:val="24"/>
          <w:szCs w:val="21"/>
          <w:highlight w:val="none"/>
        </w:rPr>
        <w:br w:type="page"/>
      </w:r>
    </w:p>
    <w:p w14:paraId="58EBA3CA">
      <w:pPr>
        <w:shd w:val="clear"/>
        <w:snapToGrid w:val="0"/>
        <w:spacing w:line="500" w:lineRule="exact"/>
        <w:jc w:val="center"/>
        <w:rPr>
          <w:rStyle w:val="43"/>
          <w:rFonts w:hint="eastAsia" w:ascii="宋体" w:hAnsi="宋体" w:eastAsia="宋体" w:cs="宋体"/>
          <w:b/>
          <w:color w:val="auto"/>
          <w:sz w:val="24"/>
          <w:szCs w:val="21"/>
          <w:highlight w:val="none"/>
          <w:lang w:eastAsia="zh-CN"/>
        </w:rPr>
      </w:pPr>
      <w:r>
        <w:rPr>
          <w:rStyle w:val="43"/>
          <w:rFonts w:hint="eastAsia" w:ascii="宋体" w:hAnsi="宋体" w:eastAsia="宋体" w:cs="宋体"/>
          <w:b/>
          <w:color w:val="auto"/>
          <w:sz w:val="24"/>
          <w:szCs w:val="21"/>
          <w:highlight w:val="none"/>
          <w:lang w:eastAsia="zh-CN"/>
        </w:rPr>
        <w:t>2.</w:t>
      </w:r>
      <w:r>
        <w:rPr>
          <w:rStyle w:val="43"/>
          <w:rFonts w:hint="eastAsia" w:ascii="宋体" w:hAnsi="宋体" w:eastAsia="宋体" w:cs="宋体"/>
          <w:b/>
          <w:color w:val="auto"/>
          <w:sz w:val="24"/>
          <w:szCs w:val="21"/>
          <w:highlight w:val="none"/>
        </w:rPr>
        <w:t>报价明细表</w:t>
      </w:r>
    </w:p>
    <w:p w14:paraId="5B01D22B">
      <w:pPr>
        <w:pStyle w:val="2"/>
        <w:shd w:val="clear"/>
        <w:ind w:left="0" w:leftChars="0" w:firstLine="0" w:firstLineChars="0"/>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项目名称：</w:t>
      </w:r>
    </w:p>
    <w:tbl>
      <w:tblPr>
        <w:tblStyle w:val="24"/>
        <w:tblW w:w="866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7"/>
        <w:gridCol w:w="1211"/>
        <w:gridCol w:w="1587"/>
        <w:gridCol w:w="1371"/>
        <w:gridCol w:w="686"/>
        <w:gridCol w:w="793"/>
        <w:gridCol w:w="1056"/>
        <w:gridCol w:w="1253"/>
      </w:tblGrid>
      <w:tr w14:paraId="4FC792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A69E15">
            <w:pPr>
              <w:shd w:val="clear"/>
              <w:snapToGrid w:val="0"/>
              <w:jc w:val="center"/>
              <w:textAlignment w:val="center"/>
              <w:rPr>
                <w:rStyle w:val="43"/>
                <w:rFonts w:hint="eastAsia" w:ascii="宋体" w:hAnsi="宋体" w:eastAsia="宋体" w:cs="宋体"/>
                <w:b/>
                <w:color w:val="auto"/>
                <w:sz w:val="20"/>
                <w:highlight w:val="none"/>
              </w:rPr>
            </w:pPr>
            <w:r>
              <w:rPr>
                <w:rStyle w:val="43"/>
                <w:rFonts w:hint="eastAsia" w:ascii="宋体" w:hAnsi="宋体" w:eastAsia="宋体" w:cs="宋体"/>
                <w:b/>
                <w:color w:val="auto"/>
                <w:kern w:val="0"/>
                <w:sz w:val="20"/>
                <w:highlight w:val="none"/>
              </w:rPr>
              <w:t>序号</w:t>
            </w:r>
          </w:p>
        </w:tc>
        <w:tc>
          <w:tcPr>
            <w:tcW w:w="12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697108">
            <w:pPr>
              <w:shd w:val="clear"/>
              <w:snapToGrid w:val="0"/>
              <w:jc w:val="center"/>
              <w:textAlignment w:val="center"/>
              <w:rPr>
                <w:rStyle w:val="43"/>
                <w:rFonts w:hint="eastAsia" w:ascii="宋体" w:hAnsi="宋体" w:eastAsia="宋体" w:cs="宋体"/>
                <w:b/>
                <w:color w:val="auto"/>
                <w:sz w:val="20"/>
                <w:highlight w:val="none"/>
              </w:rPr>
            </w:pPr>
            <w:r>
              <w:rPr>
                <w:rStyle w:val="43"/>
                <w:rFonts w:hint="eastAsia" w:ascii="宋体" w:hAnsi="宋体" w:eastAsia="宋体" w:cs="宋体"/>
                <w:b/>
                <w:color w:val="auto"/>
                <w:kern w:val="0"/>
                <w:sz w:val="20"/>
                <w:highlight w:val="none"/>
              </w:rPr>
              <w:t>名称</w:t>
            </w:r>
          </w:p>
        </w:tc>
        <w:tc>
          <w:tcPr>
            <w:tcW w:w="158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200043">
            <w:pPr>
              <w:shd w:val="clear"/>
              <w:snapToGrid w:val="0"/>
              <w:jc w:val="center"/>
              <w:textAlignment w:val="center"/>
              <w:rPr>
                <w:rStyle w:val="43"/>
                <w:rFonts w:hint="eastAsia" w:ascii="宋体" w:hAnsi="宋体" w:eastAsia="宋体" w:cs="宋体"/>
                <w:b/>
                <w:color w:val="auto"/>
                <w:sz w:val="20"/>
                <w:highlight w:val="none"/>
              </w:rPr>
            </w:pPr>
            <w:r>
              <w:rPr>
                <w:rStyle w:val="43"/>
                <w:rFonts w:hint="eastAsia" w:ascii="宋体" w:hAnsi="宋体" w:eastAsia="宋体" w:cs="宋体"/>
                <w:b/>
                <w:color w:val="auto"/>
                <w:sz w:val="20"/>
                <w:highlight w:val="none"/>
              </w:rPr>
              <w:t>技术参数</w:t>
            </w:r>
          </w:p>
        </w:tc>
        <w:tc>
          <w:tcPr>
            <w:tcW w:w="137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37E2A1">
            <w:pPr>
              <w:shd w:val="clear"/>
              <w:snapToGrid w:val="0"/>
              <w:jc w:val="center"/>
              <w:textAlignment w:val="center"/>
              <w:rPr>
                <w:rStyle w:val="43"/>
                <w:rFonts w:hint="eastAsia" w:ascii="宋体" w:hAnsi="宋体" w:eastAsia="宋体" w:cs="宋体"/>
                <w:b/>
                <w:color w:val="auto"/>
                <w:sz w:val="20"/>
                <w:highlight w:val="none"/>
              </w:rPr>
            </w:pPr>
            <w:r>
              <w:rPr>
                <w:rStyle w:val="43"/>
                <w:rFonts w:hint="eastAsia" w:ascii="宋体" w:hAnsi="宋体" w:eastAsia="宋体" w:cs="宋体"/>
                <w:b/>
                <w:color w:val="auto"/>
                <w:kern w:val="0"/>
                <w:sz w:val="20"/>
                <w:highlight w:val="none"/>
              </w:rPr>
              <w:t>品牌型号</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8F47A1">
            <w:pPr>
              <w:shd w:val="clear"/>
              <w:snapToGrid w:val="0"/>
              <w:jc w:val="center"/>
              <w:textAlignment w:val="center"/>
              <w:rPr>
                <w:rStyle w:val="43"/>
                <w:rFonts w:hint="eastAsia" w:ascii="宋体" w:hAnsi="宋体" w:eastAsia="宋体" w:cs="宋体"/>
                <w:b/>
                <w:color w:val="auto"/>
                <w:kern w:val="0"/>
                <w:sz w:val="20"/>
                <w:highlight w:val="none"/>
              </w:rPr>
            </w:pPr>
            <w:r>
              <w:rPr>
                <w:rStyle w:val="43"/>
                <w:rFonts w:hint="eastAsia" w:ascii="宋体" w:hAnsi="宋体" w:eastAsia="宋体" w:cs="宋体"/>
                <w:b/>
                <w:color w:val="auto"/>
                <w:kern w:val="0"/>
                <w:sz w:val="20"/>
                <w:highlight w:val="none"/>
              </w:rPr>
              <w:t>单位</w:t>
            </w:r>
          </w:p>
        </w:tc>
        <w:tc>
          <w:tcPr>
            <w:tcW w:w="7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B11E96">
            <w:pPr>
              <w:shd w:val="clear"/>
              <w:snapToGrid w:val="0"/>
              <w:jc w:val="center"/>
              <w:textAlignment w:val="center"/>
              <w:rPr>
                <w:rStyle w:val="43"/>
                <w:rFonts w:hint="eastAsia" w:ascii="宋体" w:hAnsi="宋体" w:eastAsia="宋体" w:cs="宋体"/>
                <w:b/>
                <w:color w:val="auto"/>
                <w:kern w:val="0"/>
                <w:sz w:val="20"/>
                <w:highlight w:val="none"/>
              </w:rPr>
            </w:pPr>
            <w:r>
              <w:rPr>
                <w:rStyle w:val="43"/>
                <w:rFonts w:hint="eastAsia" w:ascii="宋体" w:hAnsi="宋体" w:eastAsia="宋体" w:cs="宋体"/>
                <w:b/>
                <w:color w:val="auto"/>
                <w:kern w:val="0"/>
                <w:sz w:val="20"/>
                <w:highlight w:val="none"/>
              </w:rPr>
              <w:t>数量</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B51B0B">
            <w:pPr>
              <w:shd w:val="clear"/>
              <w:snapToGrid w:val="0"/>
              <w:jc w:val="center"/>
              <w:textAlignment w:val="center"/>
              <w:rPr>
                <w:rStyle w:val="43"/>
                <w:rFonts w:hint="eastAsia" w:ascii="宋体" w:hAnsi="宋体" w:eastAsia="宋体" w:cs="宋体"/>
                <w:b/>
                <w:color w:val="auto"/>
                <w:sz w:val="20"/>
                <w:highlight w:val="none"/>
              </w:rPr>
            </w:pPr>
            <w:r>
              <w:rPr>
                <w:rStyle w:val="43"/>
                <w:rFonts w:hint="eastAsia" w:ascii="宋体" w:hAnsi="宋体" w:eastAsia="宋体" w:cs="宋体"/>
                <w:b/>
                <w:color w:val="auto"/>
                <w:kern w:val="0"/>
                <w:sz w:val="20"/>
                <w:highlight w:val="none"/>
              </w:rPr>
              <w:t>单价（元）</w:t>
            </w:r>
          </w:p>
        </w:tc>
        <w:tc>
          <w:tcPr>
            <w:tcW w:w="125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AA4D10">
            <w:pPr>
              <w:shd w:val="clear"/>
              <w:snapToGrid w:val="0"/>
              <w:jc w:val="center"/>
              <w:textAlignment w:val="center"/>
              <w:rPr>
                <w:rStyle w:val="43"/>
                <w:rFonts w:hint="eastAsia" w:ascii="宋体" w:hAnsi="宋体" w:eastAsia="宋体" w:cs="宋体"/>
                <w:b/>
                <w:color w:val="auto"/>
                <w:kern w:val="0"/>
                <w:sz w:val="20"/>
                <w:highlight w:val="none"/>
              </w:rPr>
            </w:pPr>
            <w:r>
              <w:rPr>
                <w:rStyle w:val="43"/>
                <w:rFonts w:hint="eastAsia" w:ascii="宋体" w:hAnsi="宋体" w:eastAsia="宋体" w:cs="宋体"/>
                <w:b/>
                <w:color w:val="auto"/>
                <w:kern w:val="0"/>
                <w:sz w:val="20"/>
                <w:highlight w:val="none"/>
              </w:rPr>
              <w:t>总价（元）</w:t>
            </w:r>
          </w:p>
        </w:tc>
      </w:tr>
      <w:tr w14:paraId="6D0CA4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exact"/>
          <w:jc w:val="center"/>
        </w:trPr>
        <w:tc>
          <w:tcPr>
            <w:tcW w:w="707" w:type="dxa"/>
            <w:tcBorders>
              <w:top w:val="single" w:color="000000" w:sz="4" w:space="0"/>
              <w:left w:val="single" w:color="000000" w:sz="4" w:space="0"/>
              <w:bottom w:val="single" w:color="000000" w:sz="4" w:space="0"/>
              <w:right w:val="single" w:color="000000" w:sz="4" w:space="0"/>
            </w:tcBorders>
            <w:vAlign w:val="center"/>
          </w:tcPr>
          <w:p w14:paraId="2E6E1C8A">
            <w:pPr>
              <w:shd w:val="clear"/>
              <w:snapToGrid w:val="0"/>
              <w:jc w:val="center"/>
              <w:textAlignment w:val="center"/>
              <w:rPr>
                <w:rStyle w:val="43"/>
                <w:rFonts w:hint="eastAsia" w:ascii="宋体" w:hAnsi="宋体" w:eastAsia="宋体" w:cs="宋体"/>
                <w:color w:val="auto"/>
                <w:sz w:val="20"/>
                <w:highlight w:val="none"/>
                <w:lang w:val="en-US" w:eastAsia="zh-CN"/>
              </w:rPr>
            </w:pPr>
            <w:r>
              <w:rPr>
                <w:rStyle w:val="43"/>
                <w:rFonts w:hint="eastAsia" w:ascii="宋体" w:hAnsi="宋体" w:eastAsia="宋体" w:cs="宋体"/>
                <w:color w:val="auto"/>
                <w:sz w:val="20"/>
                <w:highlight w:val="none"/>
                <w:lang w:val="en-US" w:eastAsia="zh-CN"/>
              </w:rPr>
              <w:t>1</w:t>
            </w:r>
          </w:p>
        </w:tc>
        <w:tc>
          <w:tcPr>
            <w:tcW w:w="1211" w:type="dxa"/>
            <w:tcBorders>
              <w:top w:val="single" w:color="000000" w:sz="4" w:space="0"/>
              <w:left w:val="single" w:color="000000" w:sz="4" w:space="0"/>
              <w:bottom w:val="single" w:color="000000" w:sz="4" w:space="0"/>
              <w:right w:val="single" w:color="000000" w:sz="4" w:space="0"/>
            </w:tcBorders>
            <w:vAlign w:val="center"/>
          </w:tcPr>
          <w:p w14:paraId="5167C8CF">
            <w:pPr>
              <w:shd w:val="clear"/>
              <w:snapToGrid w:val="0"/>
              <w:jc w:val="left"/>
              <w:textAlignment w:val="center"/>
              <w:rPr>
                <w:rStyle w:val="43"/>
                <w:rFonts w:hint="eastAsia" w:ascii="宋体" w:hAnsi="宋体" w:eastAsia="宋体" w:cs="宋体"/>
                <w:color w:val="auto"/>
                <w:sz w:val="20"/>
                <w:highlight w:val="none"/>
              </w:rPr>
            </w:pPr>
          </w:p>
        </w:tc>
        <w:tc>
          <w:tcPr>
            <w:tcW w:w="1587" w:type="dxa"/>
            <w:tcBorders>
              <w:top w:val="single" w:color="000000" w:sz="4" w:space="0"/>
              <w:left w:val="single" w:color="000000" w:sz="4" w:space="0"/>
              <w:bottom w:val="single" w:color="000000" w:sz="4" w:space="0"/>
              <w:right w:val="single" w:color="000000" w:sz="4" w:space="0"/>
            </w:tcBorders>
            <w:vAlign w:val="center"/>
          </w:tcPr>
          <w:p w14:paraId="5440935D">
            <w:pPr>
              <w:shd w:val="clear"/>
              <w:snapToGrid w:val="0"/>
              <w:jc w:val="center"/>
              <w:textAlignment w:val="center"/>
              <w:rPr>
                <w:rStyle w:val="43"/>
                <w:rFonts w:hint="eastAsia" w:ascii="宋体" w:hAnsi="宋体" w:eastAsia="宋体" w:cs="宋体"/>
                <w:color w:val="auto"/>
                <w:sz w:val="20"/>
                <w:highlight w:val="none"/>
              </w:rPr>
            </w:pPr>
          </w:p>
        </w:tc>
        <w:tc>
          <w:tcPr>
            <w:tcW w:w="1371" w:type="dxa"/>
            <w:tcBorders>
              <w:top w:val="single" w:color="000000" w:sz="4" w:space="0"/>
              <w:left w:val="single" w:color="000000" w:sz="4" w:space="0"/>
              <w:bottom w:val="single" w:color="000000" w:sz="4" w:space="0"/>
              <w:right w:val="single" w:color="000000" w:sz="4" w:space="0"/>
            </w:tcBorders>
            <w:vAlign w:val="center"/>
          </w:tcPr>
          <w:p w14:paraId="34584313">
            <w:pPr>
              <w:shd w:val="clear"/>
              <w:snapToGrid w:val="0"/>
              <w:jc w:val="center"/>
              <w:textAlignment w:val="center"/>
              <w:rPr>
                <w:rStyle w:val="43"/>
                <w:rFonts w:hint="eastAsia" w:ascii="宋体" w:hAnsi="宋体" w:eastAsia="宋体" w:cs="宋体"/>
                <w:color w:val="auto"/>
                <w:sz w:val="20"/>
                <w:highlight w:val="none"/>
              </w:rPr>
            </w:pPr>
          </w:p>
        </w:tc>
        <w:tc>
          <w:tcPr>
            <w:tcW w:w="686" w:type="dxa"/>
            <w:tcBorders>
              <w:top w:val="single" w:color="000000" w:sz="4" w:space="0"/>
              <w:left w:val="single" w:color="000000" w:sz="4" w:space="0"/>
              <w:bottom w:val="single" w:color="000000" w:sz="4" w:space="0"/>
              <w:right w:val="single" w:color="000000" w:sz="4" w:space="0"/>
            </w:tcBorders>
            <w:vAlign w:val="center"/>
          </w:tcPr>
          <w:p w14:paraId="435D9668">
            <w:pPr>
              <w:shd w:val="clear"/>
              <w:snapToGrid w:val="0"/>
              <w:jc w:val="right"/>
              <w:rPr>
                <w:rStyle w:val="43"/>
                <w:rFonts w:hint="eastAsia" w:ascii="宋体" w:hAnsi="宋体" w:eastAsia="宋体" w:cs="宋体"/>
                <w:color w:val="auto"/>
                <w:sz w:val="20"/>
                <w:highlight w:val="none"/>
              </w:rPr>
            </w:pPr>
          </w:p>
        </w:tc>
        <w:tc>
          <w:tcPr>
            <w:tcW w:w="793" w:type="dxa"/>
            <w:tcBorders>
              <w:top w:val="single" w:color="000000" w:sz="4" w:space="0"/>
              <w:left w:val="single" w:color="000000" w:sz="4" w:space="0"/>
              <w:bottom w:val="single" w:color="000000" w:sz="4" w:space="0"/>
              <w:right w:val="single" w:color="000000" w:sz="4" w:space="0"/>
            </w:tcBorders>
            <w:vAlign w:val="center"/>
          </w:tcPr>
          <w:p w14:paraId="09A9287D">
            <w:pPr>
              <w:shd w:val="clear"/>
              <w:snapToGrid w:val="0"/>
              <w:jc w:val="right"/>
              <w:rPr>
                <w:rStyle w:val="43"/>
                <w:rFonts w:hint="eastAsia" w:ascii="宋体" w:hAnsi="宋体" w:eastAsia="宋体" w:cs="宋体"/>
                <w:color w:val="auto"/>
                <w:sz w:val="20"/>
                <w:highlight w:val="none"/>
              </w:rPr>
            </w:pPr>
          </w:p>
        </w:tc>
        <w:tc>
          <w:tcPr>
            <w:tcW w:w="1056" w:type="dxa"/>
            <w:tcBorders>
              <w:top w:val="single" w:color="000000" w:sz="4" w:space="0"/>
              <w:left w:val="single" w:color="000000" w:sz="4" w:space="0"/>
              <w:bottom w:val="single" w:color="000000" w:sz="4" w:space="0"/>
              <w:right w:val="single" w:color="000000" w:sz="4" w:space="0"/>
            </w:tcBorders>
            <w:vAlign w:val="center"/>
          </w:tcPr>
          <w:p w14:paraId="3A2C3F6A">
            <w:pPr>
              <w:shd w:val="clear"/>
              <w:snapToGrid w:val="0"/>
              <w:jc w:val="right"/>
              <w:rPr>
                <w:rStyle w:val="43"/>
                <w:rFonts w:hint="eastAsia" w:ascii="宋体" w:hAnsi="宋体" w:eastAsia="宋体" w:cs="宋体"/>
                <w:color w:val="auto"/>
                <w:sz w:val="20"/>
                <w:highlight w:val="none"/>
              </w:rPr>
            </w:pPr>
          </w:p>
        </w:tc>
        <w:tc>
          <w:tcPr>
            <w:tcW w:w="1253" w:type="dxa"/>
            <w:tcBorders>
              <w:top w:val="single" w:color="000000" w:sz="4" w:space="0"/>
              <w:left w:val="single" w:color="000000" w:sz="4" w:space="0"/>
              <w:bottom w:val="single" w:color="000000" w:sz="4" w:space="0"/>
              <w:right w:val="single" w:color="000000" w:sz="4" w:space="0"/>
            </w:tcBorders>
            <w:vAlign w:val="center"/>
          </w:tcPr>
          <w:p w14:paraId="01376C07">
            <w:pPr>
              <w:shd w:val="clear"/>
              <w:snapToGrid w:val="0"/>
              <w:jc w:val="right"/>
              <w:rPr>
                <w:rStyle w:val="43"/>
                <w:rFonts w:hint="eastAsia" w:ascii="宋体" w:hAnsi="宋体" w:eastAsia="宋体" w:cs="宋体"/>
                <w:color w:val="auto"/>
                <w:sz w:val="20"/>
                <w:highlight w:val="none"/>
              </w:rPr>
            </w:pPr>
          </w:p>
        </w:tc>
      </w:tr>
      <w:tr w14:paraId="57D8B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exact"/>
          <w:jc w:val="center"/>
        </w:trPr>
        <w:tc>
          <w:tcPr>
            <w:tcW w:w="707" w:type="dxa"/>
            <w:tcBorders>
              <w:top w:val="single" w:color="000000" w:sz="4" w:space="0"/>
              <w:left w:val="single" w:color="000000" w:sz="4" w:space="0"/>
              <w:bottom w:val="single" w:color="000000" w:sz="4" w:space="0"/>
              <w:right w:val="single" w:color="000000" w:sz="4" w:space="0"/>
            </w:tcBorders>
            <w:vAlign w:val="center"/>
          </w:tcPr>
          <w:p w14:paraId="0CD433DE">
            <w:pPr>
              <w:shd w:val="clear"/>
              <w:snapToGrid w:val="0"/>
              <w:jc w:val="center"/>
              <w:textAlignment w:val="center"/>
              <w:rPr>
                <w:rStyle w:val="43"/>
                <w:rFonts w:hint="eastAsia" w:ascii="宋体" w:hAnsi="宋体" w:eastAsia="宋体" w:cs="宋体"/>
                <w:color w:val="auto"/>
                <w:sz w:val="20"/>
                <w:highlight w:val="none"/>
                <w:lang w:val="en-US" w:eastAsia="zh-CN"/>
              </w:rPr>
            </w:pPr>
            <w:r>
              <w:rPr>
                <w:rStyle w:val="43"/>
                <w:rFonts w:hint="eastAsia" w:ascii="宋体" w:hAnsi="宋体" w:eastAsia="宋体" w:cs="宋体"/>
                <w:color w:val="auto"/>
                <w:sz w:val="20"/>
                <w:highlight w:val="none"/>
                <w:lang w:val="en-US" w:eastAsia="zh-CN"/>
              </w:rPr>
              <w:t>2</w:t>
            </w:r>
          </w:p>
        </w:tc>
        <w:tc>
          <w:tcPr>
            <w:tcW w:w="1211" w:type="dxa"/>
            <w:tcBorders>
              <w:top w:val="single" w:color="000000" w:sz="4" w:space="0"/>
              <w:left w:val="single" w:color="000000" w:sz="4" w:space="0"/>
              <w:bottom w:val="single" w:color="000000" w:sz="4" w:space="0"/>
              <w:right w:val="single" w:color="000000" w:sz="4" w:space="0"/>
            </w:tcBorders>
            <w:vAlign w:val="center"/>
          </w:tcPr>
          <w:p w14:paraId="5B7F4C12">
            <w:pPr>
              <w:shd w:val="clear"/>
              <w:snapToGrid w:val="0"/>
              <w:jc w:val="left"/>
              <w:textAlignment w:val="center"/>
              <w:rPr>
                <w:rStyle w:val="43"/>
                <w:rFonts w:hint="eastAsia" w:ascii="宋体" w:hAnsi="宋体" w:eastAsia="宋体" w:cs="宋体"/>
                <w:color w:val="auto"/>
                <w:sz w:val="20"/>
                <w:highlight w:val="none"/>
              </w:rPr>
            </w:pPr>
          </w:p>
        </w:tc>
        <w:tc>
          <w:tcPr>
            <w:tcW w:w="1587" w:type="dxa"/>
            <w:tcBorders>
              <w:top w:val="single" w:color="000000" w:sz="4" w:space="0"/>
              <w:left w:val="single" w:color="000000" w:sz="4" w:space="0"/>
              <w:bottom w:val="single" w:color="000000" w:sz="4" w:space="0"/>
              <w:right w:val="single" w:color="000000" w:sz="4" w:space="0"/>
            </w:tcBorders>
            <w:vAlign w:val="center"/>
          </w:tcPr>
          <w:p w14:paraId="03F29489">
            <w:pPr>
              <w:shd w:val="clear"/>
              <w:snapToGrid w:val="0"/>
              <w:jc w:val="center"/>
              <w:textAlignment w:val="center"/>
              <w:rPr>
                <w:rStyle w:val="43"/>
                <w:rFonts w:hint="eastAsia" w:ascii="宋体" w:hAnsi="宋体" w:eastAsia="宋体" w:cs="宋体"/>
                <w:color w:val="auto"/>
                <w:sz w:val="20"/>
                <w:highlight w:val="none"/>
              </w:rPr>
            </w:pPr>
          </w:p>
        </w:tc>
        <w:tc>
          <w:tcPr>
            <w:tcW w:w="1371" w:type="dxa"/>
            <w:tcBorders>
              <w:top w:val="single" w:color="000000" w:sz="4" w:space="0"/>
              <w:left w:val="single" w:color="000000" w:sz="4" w:space="0"/>
              <w:bottom w:val="single" w:color="000000" w:sz="4" w:space="0"/>
              <w:right w:val="single" w:color="000000" w:sz="4" w:space="0"/>
            </w:tcBorders>
            <w:vAlign w:val="center"/>
          </w:tcPr>
          <w:p w14:paraId="29890274">
            <w:pPr>
              <w:shd w:val="clear"/>
              <w:snapToGrid w:val="0"/>
              <w:jc w:val="center"/>
              <w:textAlignment w:val="center"/>
              <w:rPr>
                <w:rStyle w:val="43"/>
                <w:rFonts w:hint="eastAsia" w:ascii="宋体" w:hAnsi="宋体" w:eastAsia="宋体" w:cs="宋体"/>
                <w:color w:val="auto"/>
                <w:sz w:val="20"/>
                <w:highlight w:val="none"/>
              </w:rPr>
            </w:pPr>
          </w:p>
        </w:tc>
        <w:tc>
          <w:tcPr>
            <w:tcW w:w="686" w:type="dxa"/>
            <w:tcBorders>
              <w:top w:val="single" w:color="000000" w:sz="4" w:space="0"/>
              <w:left w:val="single" w:color="000000" w:sz="4" w:space="0"/>
              <w:bottom w:val="single" w:color="000000" w:sz="4" w:space="0"/>
              <w:right w:val="single" w:color="000000" w:sz="4" w:space="0"/>
            </w:tcBorders>
            <w:vAlign w:val="center"/>
          </w:tcPr>
          <w:p w14:paraId="4B2E9B75">
            <w:pPr>
              <w:shd w:val="clear"/>
              <w:snapToGrid w:val="0"/>
              <w:jc w:val="right"/>
              <w:rPr>
                <w:rStyle w:val="43"/>
                <w:rFonts w:hint="eastAsia" w:ascii="宋体" w:hAnsi="宋体" w:eastAsia="宋体" w:cs="宋体"/>
                <w:color w:val="auto"/>
                <w:sz w:val="20"/>
                <w:highlight w:val="none"/>
              </w:rPr>
            </w:pPr>
          </w:p>
        </w:tc>
        <w:tc>
          <w:tcPr>
            <w:tcW w:w="793" w:type="dxa"/>
            <w:tcBorders>
              <w:top w:val="single" w:color="000000" w:sz="4" w:space="0"/>
              <w:left w:val="single" w:color="000000" w:sz="4" w:space="0"/>
              <w:bottom w:val="single" w:color="000000" w:sz="4" w:space="0"/>
              <w:right w:val="single" w:color="000000" w:sz="4" w:space="0"/>
            </w:tcBorders>
            <w:vAlign w:val="center"/>
          </w:tcPr>
          <w:p w14:paraId="058A2237">
            <w:pPr>
              <w:shd w:val="clear"/>
              <w:snapToGrid w:val="0"/>
              <w:jc w:val="right"/>
              <w:rPr>
                <w:rStyle w:val="43"/>
                <w:rFonts w:hint="eastAsia" w:ascii="宋体" w:hAnsi="宋体" w:eastAsia="宋体" w:cs="宋体"/>
                <w:color w:val="auto"/>
                <w:sz w:val="20"/>
                <w:highlight w:val="none"/>
              </w:rPr>
            </w:pPr>
          </w:p>
        </w:tc>
        <w:tc>
          <w:tcPr>
            <w:tcW w:w="1056" w:type="dxa"/>
            <w:tcBorders>
              <w:top w:val="single" w:color="000000" w:sz="4" w:space="0"/>
              <w:left w:val="single" w:color="000000" w:sz="4" w:space="0"/>
              <w:bottom w:val="single" w:color="000000" w:sz="4" w:space="0"/>
              <w:right w:val="single" w:color="000000" w:sz="4" w:space="0"/>
            </w:tcBorders>
            <w:vAlign w:val="center"/>
          </w:tcPr>
          <w:p w14:paraId="15BF2E90">
            <w:pPr>
              <w:shd w:val="clear"/>
              <w:snapToGrid w:val="0"/>
              <w:jc w:val="right"/>
              <w:rPr>
                <w:rStyle w:val="43"/>
                <w:rFonts w:hint="eastAsia" w:ascii="宋体" w:hAnsi="宋体" w:eastAsia="宋体" w:cs="宋体"/>
                <w:color w:val="auto"/>
                <w:sz w:val="20"/>
                <w:highlight w:val="none"/>
              </w:rPr>
            </w:pPr>
          </w:p>
        </w:tc>
        <w:tc>
          <w:tcPr>
            <w:tcW w:w="1253" w:type="dxa"/>
            <w:tcBorders>
              <w:top w:val="single" w:color="000000" w:sz="4" w:space="0"/>
              <w:left w:val="single" w:color="000000" w:sz="4" w:space="0"/>
              <w:bottom w:val="single" w:color="000000" w:sz="4" w:space="0"/>
              <w:right w:val="single" w:color="000000" w:sz="4" w:space="0"/>
            </w:tcBorders>
            <w:vAlign w:val="center"/>
          </w:tcPr>
          <w:p w14:paraId="323A980C">
            <w:pPr>
              <w:shd w:val="clear"/>
              <w:snapToGrid w:val="0"/>
              <w:jc w:val="right"/>
              <w:rPr>
                <w:rStyle w:val="43"/>
                <w:rFonts w:hint="eastAsia" w:ascii="宋体" w:hAnsi="宋体" w:eastAsia="宋体" w:cs="宋体"/>
                <w:color w:val="auto"/>
                <w:sz w:val="20"/>
                <w:highlight w:val="none"/>
              </w:rPr>
            </w:pPr>
          </w:p>
        </w:tc>
      </w:tr>
      <w:tr w14:paraId="09092C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exact"/>
          <w:jc w:val="center"/>
        </w:trPr>
        <w:tc>
          <w:tcPr>
            <w:tcW w:w="707" w:type="dxa"/>
            <w:tcBorders>
              <w:top w:val="single" w:color="000000" w:sz="4" w:space="0"/>
              <w:left w:val="single" w:color="000000" w:sz="4" w:space="0"/>
              <w:bottom w:val="single" w:color="000000" w:sz="4" w:space="0"/>
              <w:right w:val="single" w:color="000000" w:sz="4" w:space="0"/>
            </w:tcBorders>
            <w:vAlign w:val="center"/>
          </w:tcPr>
          <w:p w14:paraId="47602B29">
            <w:pPr>
              <w:shd w:val="clear"/>
              <w:snapToGrid w:val="0"/>
              <w:jc w:val="center"/>
              <w:textAlignment w:val="center"/>
              <w:rPr>
                <w:rStyle w:val="43"/>
                <w:rFonts w:hint="eastAsia" w:ascii="宋体" w:hAnsi="宋体" w:eastAsia="宋体" w:cs="宋体"/>
                <w:color w:val="auto"/>
                <w:sz w:val="20"/>
                <w:highlight w:val="none"/>
                <w:lang w:eastAsia="zh-CN"/>
              </w:rPr>
            </w:pPr>
            <w:r>
              <w:rPr>
                <w:rStyle w:val="43"/>
                <w:rFonts w:hint="eastAsia" w:ascii="宋体" w:hAnsi="宋体" w:eastAsia="宋体" w:cs="宋体"/>
                <w:color w:val="auto"/>
                <w:sz w:val="20"/>
                <w:highlight w:val="none"/>
                <w:lang w:eastAsia="zh-CN"/>
              </w:rPr>
              <w:t>……</w:t>
            </w:r>
          </w:p>
        </w:tc>
        <w:tc>
          <w:tcPr>
            <w:tcW w:w="1211" w:type="dxa"/>
            <w:tcBorders>
              <w:top w:val="single" w:color="000000" w:sz="4" w:space="0"/>
              <w:left w:val="single" w:color="000000" w:sz="4" w:space="0"/>
              <w:bottom w:val="single" w:color="000000" w:sz="4" w:space="0"/>
              <w:right w:val="single" w:color="000000" w:sz="4" w:space="0"/>
            </w:tcBorders>
            <w:vAlign w:val="center"/>
          </w:tcPr>
          <w:p w14:paraId="6C7C02AF">
            <w:pPr>
              <w:shd w:val="clear"/>
              <w:snapToGrid w:val="0"/>
              <w:jc w:val="left"/>
              <w:textAlignment w:val="center"/>
              <w:rPr>
                <w:rStyle w:val="43"/>
                <w:rFonts w:hint="eastAsia" w:ascii="宋体" w:hAnsi="宋体" w:eastAsia="宋体" w:cs="宋体"/>
                <w:color w:val="auto"/>
                <w:sz w:val="20"/>
                <w:highlight w:val="none"/>
              </w:rPr>
            </w:pPr>
          </w:p>
        </w:tc>
        <w:tc>
          <w:tcPr>
            <w:tcW w:w="1587" w:type="dxa"/>
            <w:tcBorders>
              <w:top w:val="single" w:color="000000" w:sz="4" w:space="0"/>
              <w:left w:val="single" w:color="000000" w:sz="4" w:space="0"/>
              <w:bottom w:val="single" w:color="000000" w:sz="4" w:space="0"/>
              <w:right w:val="single" w:color="000000" w:sz="4" w:space="0"/>
            </w:tcBorders>
            <w:vAlign w:val="center"/>
          </w:tcPr>
          <w:p w14:paraId="69ABBC33">
            <w:pPr>
              <w:shd w:val="clear"/>
              <w:snapToGrid w:val="0"/>
              <w:jc w:val="center"/>
              <w:textAlignment w:val="center"/>
              <w:rPr>
                <w:rStyle w:val="43"/>
                <w:rFonts w:hint="eastAsia" w:ascii="宋体" w:hAnsi="宋体" w:eastAsia="宋体" w:cs="宋体"/>
                <w:color w:val="auto"/>
                <w:sz w:val="20"/>
                <w:highlight w:val="none"/>
              </w:rPr>
            </w:pPr>
          </w:p>
        </w:tc>
        <w:tc>
          <w:tcPr>
            <w:tcW w:w="1371" w:type="dxa"/>
            <w:tcBorders>
              <w:top w:val="single" w:color="000000" w:sz="4" w:space="0"/>
              <w:left w:val="single" w:color="000000" w:sz="4" w:space="0"/>
              <w:bottom w:val="single" w:color="000000" w:sz="4" w:space="0"/>
              <w:right w:val="single" w:color="000000" w:sz="4" w:space="0"/>
            </w:tcBorders>
            <w:vAlign w:val="center"/>
          </w:tcPr>
          <w:p w14:paraId="05273A51">
            <w:pPr>
              <w:shd w:val="clear"/>
              <w:snapToGrid w:val="0"/>
              <w:jc w:val="center"/>
              <w:textAlignment w:val="center"/>
              <w:rPr>
                <w:rStyle w:val="43"/>
                <w:rFonts w:hint="eastAsia" w:ascii="宋体" w:hAnsi="宋体" w:eastAsia="宋体" w:cs="宋体"/>
                <w:color w:val="auto"/>
                <w:sz w:val="20"/>
                <w:highlight w:val="none"/>
              </w:rPr>
            </w:pPr>
          </w:p>
        </w:tc>
        <w:tc>
          <w:tcPr>
            <w:tcW w:w="686" w:type="dxa"/>
            <w:tcBorders>
              <w:top w:val="single" w:color="000000" w:sz="4" w:space="0"/>
              <w:left w:val="single" w:color="000000" w:sz="4" w:space="0"/>
              <w:bottom w:val="single" w:color="000000" w:sz="4" w:space="0"/>
              <w:right w:val="single" w:color="000000" w:sz="4" w:space="0"/>
            </w:tcBorders>
            <w:vAlign w:val="center"/>
          </w:tcPr>
          <w:p w14:paraId="0379AC76">
            <w:pPr>
              <w:shd w:val="clear"/>
              <w:snapToGrid w:val="0"/>
              <w:jc w:val="right"/>
              <w:rPr>
                <w:rStyle w:val="43"/>
                <w:rFonts w:hint="eastAsia" w:ascii="宋体" w:hAnsi="宋体" w:eastAsia="宋体" w:cs="宋体"/>
                <w:color w:val="auto"/>
                <w:sz w:val="20"/>
                <w:highlight w:val="none"/>
              </w:rPr>
            </w:pPr>
          </w:p>
        </w:tc>
        <w:tc>
          <w:tcPr>
            <w:tcW w:w="793" w:type="dxa"/>
            <w:tcBorders>
              <w:top w:val="single" w:color="000000" w:sz="4" w:space="0"/>
              <w:left w:val="single" w:color="000000" w:sz="4" w:space="0"/>
              <w:bottom w:val="single" w:color="000000" w:sz="4" w:space="0"/>
              <w:right w:val="single" w:color="000000" w:sz="4" w:space="0"/>
            </w:tcBorders>
            <w:vAlign w:val="center"/>
          </w:tcPr>
          <w:p w14:paraId="41C28C11">
            <w:pPr>
              <w:shd w:val="clear"/>
              <w:snapToGrid w:val="0"/>
              <w:jc w:val="right"/>
              <w:rPr>
                <w:rStyle w:val="43"/>
                <w:rFonts w:hint="eastAsia" w:ascii="宋体" w:hAnsi="宋体" w:eastAsia="宋体" w:cs="宋体"/>
                <w:color w:val="auto"/>
                <w:sz w:val="20"/>
                <w:highlight w:val="none"/>
              </w:rPr>
            </w:pPr>
          </w:p>
        </w:tc>
        <w:tc>
          <w:tcPr>
            <w:tcW w:w="1056" w:type="dxa"/>
            <w:tcBorders>
              <w:top w:val="single" w:color="000000" w:sz="4" w:space="0"/>
              <w:left w:val="single" w:color="000000" w:sz="4" w:space="0"/>
              <w:bottom w:val="single" w:color="000000" w:sz="4" w:space="0"/>
              <w:right w:val="single" w:color="000000" w:sz="4" w:space="0"/>
            </w:tcBorders>
            <w:vAlign w:val="center"/>
          </w:tcPr>
          <w:p w14:paraId="2A9C8C90">
            <w:pPr>
              <w:shd w:val="clear"/>
              <w:snapToGrid w:val="0"/>
              <w:jc w:val="right"/>
              <w:rPr>
                <w:rStyle w:val="43"/>
                <w:rFonts w:hint="eastAsia" w:ascii="宋体" w:hAnsi="宋体" w:eastAsia="宋体" w:cs="宋体"/>
                <w:color w:val="auto"/>
                <w:sz w:val="20"/>
                <w:highlight w:val="none"/>
              </w:rPr>
            </w:pPr>
          </w:p>
        </w:tc>
        <w:tc>
          <w:tcPr>
            <w:tcW w:w="1253" w:type="dxa"/>
            <w:tcBorders>
              <w:top w:val="single" w:color="000000" w:sz="4" w:space="0"/>
              <w:left w:val="single" w:color="000000" w:sz="4" w:space="0"/>
              <w:bottom w:val="single" w:color="000000" w:sz="4" w:space="0"/>
              <w:right w:val="single" w:color="000000" w:sz="4" w:space="0"/>
            </w:tcBorders>
            <w:vAlign w:val="center"/>
          </w:tcPr>
          <w:p w14:paraId="58B98FBD">
            <w:pPr>
              <w:shd w:val="clear"/>
              <w:snapToGrid w:val="0"/>
              <w:jc w:val="right"/>
              <w:rPr>
                <w:rStyle w:val="43"/>
                <w:rFonts w:hint="eastAsia" w:ascii="宋体" w:hAnsi="宋体" w:eastAsia="宋体" w:cs="宋体"/>
                <w:color w:val="auto"/>
                <w:sz w:val="20"/>
                <w:highlight w:val="none"/>
              </w:rPr>
            </w:pPr>
          </w:p>
        </w:tc>
      </w:tr>
      <w:tr w14:paraId="184FF4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exact"/>
          <w:jc w:val="center"/>
        </w:trPr>
        <w:tc>
          <w:tcPr>
            <w:tcW w:w="7411" w:type="dxa"/>
            <w:gridSpan w:val="7"/>
            <w:tcBorders>
              <w:top w:val="single" w:color="000000" w:sz="4" w:space="0"/>
              <w:left w:val="single" w:color="000000" w:sz="4" w:space="0"/>
              <w:bottom w:val="single" w:color="000000" w:sz="4" w:space="0"/>
              <w:right w:val="single" w:color="000000" w:sz="4" w:space="0"/>
            </w:tcBorders>
            <w:vAlign w:val="center"/>
          </w:tcPr>
          <w:p w14:paraId="16DE2C46">
            <w:pPr>
              <w:shd w:val="clear"/>
              <w:snapToGrid w:val="0"/>
              <w:jc w:val="center"/>
              <w:rPr>
                <w:rStyle w:val="43"/>
                <w:rFonts w:hint="eastAsia" w:ascii="宋体" w:hAnsi="宋体" w:eastAsia="宋体" w:cs="宋体"/>
                <w:color w:val="auto"/>
                <w:sz w:val="20"/>
                <w:highlight w:val="none"/>
              </w:rPr>
            </w:pPr>
            <w:r>
              <w:rPr>
                <w:rStyle w:val="43"/>
                <w:rFonts w:hint="eastAsia" w:ascii="宋体" w:hAnsi="宋体" w:eastAsia="宋体" w:cs="宋体"/>
                <w:color w:val="auto"/>
                <w:sz w:val="20"/>
                <w:highlight w:val="none"/>
              </w:rPr>
              <w:t>合计</w:t>
            </w:r>
          </w:p>
        </w:tc>
        <w:tc>
          <w:tcPr>
            <w:tcW w:w="1253" w:type="dxa"/>
            <w:tcBorders>
              <w:top w:val="single" w:color="000000" w:sz="4" w:space="0"/>
              <w:left w:val="single" w:color="000000" w:sz="4" w:space="0"/>
              <w:bottom w:val="single" w:color="000000" w:sz="4" w:space="0"/>
              <w:right w:val="single" w:color="000000" w:sz="4" w:space="0"/>
            </w:tcBorders>
            <w:vAlign w:val="center"/>
          </w:tcPr>
          <w:p w14:paraId="54CC1266">
            <w:pPr>
              <w:shd w:val="clear"/>
              <w:snapToGrid w:val="0"/>
              <w:jc w:val="right"/>
              <w:rPr>
                <w:rStyle w:val="43"/>
                <w:rFonts w:hint="eastAsia" w:ascii="宋体" w:hAnsi="宋体" w:eastAsia="宋体" w:cs="宋体"/>
                <w:color w:val="auto"/>
                <w:sz w:val="20"/>
                <w:highlight w:val="none"/>
              </w:rPr>
            </w:pPr>
          </w:p>
        </w:tc>
      </w:tr>
    </w:tbl>
    <w:p w14:paraId="791C52BE">
      <w:pPr>
        <w:pStyle w:val="79"/>
        <w:shd w:val="clear"/>
        <w:snapToGrid w:val="0"/>
        <w:rPr>
          <w:rStyle w:val="43"/>
          <w:rFonts w:hint="eastAsia" w:ascii="宋体" w:hAnsi="宋体" w:eastAsia="宋体" w:cs="宋体"/>
          <w:b/>
          <w:bCs/>
          <w:color w:val="auto"/>
          <w:szCs w:val="21"/>
          <w:highlight w:val="none"/>
        </w:rPr>
      </w:pPr>
    </w:p>
    <w:p w14:paraId="790FC81F">
      <w:pPr>
        <w:shd w:val="clea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供应商：（盖章）             </w:t>
      </w:r>
    </w:p>
    <w:p w14:paraId="2673AD9E">
      <w:pPr>
        <w:shd w:val="clea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法定代表人或被授权人（签字或盖章）：</w:t>
      </w:r>
    </w:p>
    <w:p w14:paraId="24BFC760">
      <w:pPr>
        <w:shd w:val="clea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日期：</w:t>
      </w:r>
    </w:p>
    <w:p w14:paraId="1F431548">
      <w:pPr>
        <w:shd w:val="clear"/>
        <w:snapToGrid w:val="0"/>
        <w:spacing w:line="500" w:lineRule="exact"/>
        <w:rPr>
          <w:rStyle w:val="43"/>
          <w:rFonts w:hint="eastAsia" w:ascii="宋体" w:hAnsi="宋体" w:eastAsia="宋体" w:cs="宋体"/>
          <w:color w:val="auto"/>
          <w:sz w:val="24"/>
          <w:szCs w:val="24"/>
          <w:highlight w:val="none"/>
        </w:rPr>
      </w:pPr>
    </w:p>
    <w:p w14:paraId="461D4B38">
      <w:pPr>
        <w:shd w:val="clear"/>
        <w:snapToGrid w:val="0"/>
        <w:spacing w:line="500" w:lineRule="exact"/>
        <w:rPr>
          <w:rStyle w:val="43"/>
          <w:rFonts w:ascii="宋体" w:hAnsi="宋体" w:eastAsia="宋体" w:cs="宋体"/>
          <w:b/>
          <w:bCs/>
          <w:color w:val="auto"/>
          <w:sz w:val="24"/>
          <w:szCs w:val="21"/>
          <w:highlight w:val="none"/>
        </w:rPr>
      </w:pPr>
    </w:p>
    <w:sectPr>
      <w:headerReference r:id="rId12" w:type="default"/>
      <w:pgSz w:w="11906" w:h="16838"/>
      <w:pgMar w:top="850" w:right="1134" w:bottom="850" w:left="1134" w:header="397" w:footer="510" w:gutter="0"/>
      <w:cols w:space="720"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创艺简仿宋">
    <w:altName w:val="仿宋"/>
    <w:panose1 w:val="00000000000000000000"/>
    <w:charset w:val="86"/>
    <w:family w:val="auto"/>
    <w:pitch w:val="default"/>
    <w:sig w:usb0="00000000" w:usb1="00000000" w:usb2="00000010" w:usb3="00000000" w:csb0="00040000" w:csb1="00000000"/>
  </w:font>
  <w:font w:name="Menl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Segoe UI Symbol">
    <w:panose1 w:val="020B0502040204020203"/>
    <w:charset w:val="00"/>
    <w:family w:val="swiss"/>
    <w:pitch w:val="default"/>
    <w:sig w:usb0="800001E3" w:usb1="1200FFEF" w:usb2="00040000" w:usb3="04000000" w:csb0="00000001" w:csb1="40000000"/>
  </w:font>
  <w:font w:name="PingFang SC">
    <w:altName w:val="宋体"/>
    <w:panose1 w:val="020B0400000000000000"/>
    <w:charset w:val="86"/>
    <w:family w:val="auto"/>
    <w:pitch w:val="default"/>
    <w:sig w:usb0="00000000" w:usb1="00000000"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DCE11">
    <w:pPr>
      <w:pStyle w:val="75"/>
      <w:rPr>
        <w:rStyle w:val="43"/>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9C2B31">
                          <w:pPr>
                            <w:pStyle w:val="2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3C9C2B31">
                    <w:pPr>
                      <w:pStyle w:val="20"/>
                    </w:pPr>
                    <w:r>
                      <w:fldChar w:fldCharType="begin"/>
                    </w:r>
                    <w:r>
                      <w:instrText xml:space="preserve"> PAGE  \* MERGEFORMAT </w:instrText>
                    </w:r>
                    <w:r>
                      <w:fldChar w:fldCharType="separate"/>
                    </w:r>
                    <w:r>
                      <w:t>2</w:t>
                    </w:r>
                    <w:r>
                      <w:fldChar w:fldCharType="end"/>
                    </w:r>
                  </w:p>
                </w:txbxContent>
              </v:textbox>
            </v:shape>
          </w:pict>
        </mc:Fallback>
      </mc:AlternateContent>
    </w:r>
    <w:r>
      <w:rPr>
        <w:rStyle w:val="43"/>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40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4001AE0">
                          <w:pPr>
                            <w:pStyle w:val="75"/>
                            <w:rPr>
                              <w:rStyle w:val="43"/>
                            </w:rPr>
                          </w:pPr>
                        </w:p>
                        <w:p w14:paraId="25925F10">
                          <w:pPr>
                            <w:rPr>
                              <w:rStyle w:val="43"/>
                            </w:rPr>
                          </w:pPr>
                        </w:p>
                      </w:txbxContent>
                    </wps:txbx>
                    <wps:bodyPr lIns="0" tIns="0" rIns="0" bIns="0" upright="1"/>
                  </wps:wsp>
                </a:graphicData>
              </a:graphic>
            </wp:anchor>
          </w:drawing>
        </mc:Choice>
        <mc:Fallback>
          <w:pict>
            <v:shape id="4098"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4wx8DawBAAB2AwAADgAAAGRycy9lMm9Eb2MueG1srVPLbtswELwX&#10;6D8QvNdS3KZVBMsBAiNFgaItkPYDaIq0CPCFXdqS/75LynKC9JJDL9Quh5zdmaU295Oz7KQATfAd&#10;v1nVnCkvQ2/8oeN/fj9+aDjDJHwvbPCq42eF/H77/t1mjK1ahyHYXgEjEo/tGDs+pBTbqkI5KCdw&#10;FaLyBOoATiRK4VD1IEZid7Za1/XnagzQRwhSIdLubgb5hRHeQhi0NlLtgjw65dPMCsqKRJJwMBH5&#10;tnSrtZLpp9aoErMdJ6WprFSE4n1eq+1GtAcQcTDy0oJ4SwuvNDlhPBW9Uu1EEuwI5h8qZyQEDDqt&#10;ZHDVLKQ4Qipu6lfePA0iqqKFrMZ4NR3/H638cfoFzPQd/8iZF44G/qm+a7IvY8SW4KdIB9L0ECZ6&#10;Lcs+0maWO2lw+UtCGOHk6vnqqpoSk/lSs26amiBJ2JIQf/V8PQKmryo4loOOA42tuClO3zHNR5cj&#10;uZoPj8baMjrr2Uist82X23LjChG79VQkq5i7zVGa9tNF2j70Z1Jmv3myMz+NJYAl2C/BMYI5DNRY&#10;0V8oaRxFweXp5Hm/zEvh599l+x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97uOX0gAAAAUBAAAP&#10;AAAAAAAAAAEAIAAAACIAAABkcnMvZG93bnJldi54bWxQSwECFAAUAAAACACHTuJA4wx8DawBAAB2&#10;AwAADgAAAAAAAAABACAAAAAhAQAAZHJzL2Uyb0RvYy54bWxQSwUGAAAAAAYABgBZAQAAPwUAAAAA&#10;">
              <v:fill on="f" focussize="0,0"/>
              <v:stroke on="f" weight="1.25pt"/>
              <v:imagedata o:title=""/>
              <o:lock v:ext="edit" aspectratio="f"/>
              <v:textbox inset="0mm,0mm,0mm,0mm">
                <w:txbxContent>
                  <w:p w14:paraId="64001AE0">
                    <w:pPr>
                      <w:pStyle w:val="75"/>
                      <w:rPr>
                        <w:rStyle w:val="43"/>
                      </w:rPr>
                    </w:pPr>
                  </w:p>
                  <w:p w14:paraId="25925F10">
                    <w:pPr>
                      <w:rPr>
                        <w:rStyle w:val="43"/>
                      </w:rPr>
                    </w:pPr>
                  </w:p>
                </w:txbxContent>
              </v:textbox>
            </v:shape>
          </w:pict>
        </mc:Fallback>
      </mc:AlternateContent>
    </w:r>
    <w:r>
      <w:rPr>
        <w:rStyle w:val="43"/>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972185" cy="147955"/>
              <wp:effectExtent l="0" t="0" r="0" b="0"/>
              <wp:wrapNone/>
              <wp:docPr id="4" name="4099"/>
              <wp:cNvGraphicFramePr/>
              <a:graphic xmlns:a="http://schemas.openxmlformats.org/drawingml/2006/main">
                <a:graphicData uri="http://schemas.microsoft.com/office/word/2010/wordprocessingShape">
                  <wps:wsp>
                    <wps:cNvSpPr txBox="1"/>
                    <wps:spPr>
                      <a:xfrm>
                        <a:off x="0" y="0"/>
                        <a:ext cx="972185" cy="147955"/>
                      </a:xfrm>
                      <a:prstGeom prst="rect">
                        <a:avLst/>
                      </a:prstGeom>
                      <a:noFill/>
                      <a:ln>
                        <a:noFill/>
                      </a:ln>
                    </wps:spPr>
                    <wps:txbx>
                      <w:txbxContent>
                        <w:p w14:paraId="644E7CF6">
                          <w:pPr>
                            <w:snapToGrid w:val="0"/>
                            <w:rPr>
                              <w:rStyle w:val="43"/>
                              <w:sz w:val="18"/>
                            </w:rPr>
                          </w:pPr>
                        </w:p>
                        <w:p w14:paraId="45D300DD">
                          <w:pPr>
                            <w:rPr>
                              <w:rStyle w:val="43"/>
                            </w:rPr>
                          </w:pPr>
                        </w:p>
                      </w:txbxContent>
                    </wps:txbx>
                    <wps:bodyPr lIns="0" tIns="0" rIns="0" bIns="0" upright="1"/>
                  </wps:wsp>
                </a:graphicData>
              </a:graphic>
            </wp:anchor>
          </w:drawing>
        </mc:Choice>
        <mc:Fallback>
          <w:pict>
            <v:shape id="4099" o:spid="_x0000_s1026" o:spt="202" type="#_x0000_t202" style="position:absolute;left:0pt;margin-top:0pt;height:11.65pt;width:76.55pt;mso-position-horizontal:center;mso-position-horizontal-relative:margin;z-index:251660288;mso-width-relative:page;mso-height-relative:page;" filled="f" stroked="f" coordsize="21600,21600" o:gfxdata="UEsDBAoAAAAAAIdO4kAAAAAAAAAAAAAAAAAEAAAAZHJzL1BLAwQUAAAACACHTuJAqGV25tQAAAAE&#10;AQAADwAAAGRycy9kb3ducmV2LnhtbE2PzU7DMBCE70i8g7VI3KidRlQQ4lQIwQkJkYYDx028TazG&#10;6xC7P7w9Lhe4rDSa0cy35frkRnGgOVjPGrKFAkHceWO51/DRvNzcgQgR2eDomTR8U4B1dXlRYmH8&#10;kWs6bGIvUgmHAjUMMU6FlKEbyGFY+Ik4eVs/O4xJzr00Mx5TuRvlUqmVdGg5LQw40dNA3W6zdxoe&#10;P7l+tl9v7Xu9rW3T3Ct+Xe20vr7K1AOISKf4F4YzfkKHKjG1fs8miFFDeiT+3rN3m2cgWg3LPAdZ&#10;lfI/fPUDUEsDBBQAAAAIAIdO4kBnwFefqAEAAGoDAAAOAAAAZHJzL2Uyb0RvYy54bWytU8FuGyEQ&#10;vVfKPyDuNWvLTuKV15EiK1Glqq2U9gMwC14kYBBg7/rvM7Bep00vOeTCDjPsm/fewOZhsIacZIga&#10;XEPns4oS6QS02h0a+uf309d7SmLiruUGnGzoWUb6sL35sul9LRfQgWllIAjiYt37hnYp+ZqxKDpp&#10;eZyBlw6LCoLlCbfhwNrAe0S3hi2q6pb1EFofQMgYMbsbi/SCGD4CCEppIXcgjla6NKIGaXhCSbHT&#10;PtJtYauUFOmnUlEmYhqKSlNZsQnG+7yy7YbXh8B9p8WFAv8IhXeaLNcOm16hdjxxcgz6PyirRYAI&#10;Ks0EWDYKKY6ginn1zpuXjntZtKDV0V9Nj58HK36cfgWi24YuKXHc4sCX1Xqdfel9rLH84vFAGh5h&#10;wNsy5SMms9xBBZu/KIRgHV09X12VQyICk+u7xfx+RYnA0nx5t16tMgp7+9mHmJ4lWJKDhgYcWvGS&#10;n77HNB6djuReDp60MWVwxv2TQMycYZn5yDBHadgPFzl7aM+oxnxzaGG+DlMQpmA/BUcf9KFDOkVz&#10;gcQRFN6X65Jn/Pe+NH57IttX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qGV25tQAAAAEAQAADwAA&#10;AAAAAAABACAAAAAiAAAAZHJzL2Rvd25yZXYueG1sUEsBAhQAFAAAAAgAh07iQGfAV5+oAQAAagMA&#10;AA4AAAAAAAAAAQAgAAAAIwEAAGRycy9lMm9Eb2MueG1sUEsFBgAAAAAGAAYAWQEAAD0FAAAAAA==&#10;">
              <v:fill on="f" focussize="0,0"/>
              <v:stroke on="f"/>
              <v:imagedata o:title=""/>
              <o:lock v:ext="edit" aspectratio="f"/>
              <v:textbox inset="0mm,0mm,0mm,0mm">
                <w:txbxContent>
                  <w:p w14:paraId="644E7CF6">
                    <w:pPr>
                      <w:snapToGrid w:val="0"/>
                      <w:rPr>
                        <w:rStyle w:val="43"/>
                        <w:sz w:val="18"/>
                      </w:rPr>
                    </w:pPr>
                  </w:p>
                  <w:p w14:paraId="45D300DD">
                    <w:pPr>
                      <w:rPr>
                        <w:rStyle w:val="43"/>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59DA0">
    <w:pPr>
      <w:pStyle w:val="75"/>
      <w:framePr w:wrap="around" w:vAnchor="margin" w:hAnchor="text" w:xAlign="right" w:y="1"/>
      <w:rPr>
        <w:rStyle w:val="99"/>
      </w:rPr>
    </w:pPr>
  </w:p>
  <w:p w14:paraId="5CB1262B">
    <w:pPr>
      <w:pStyle w:val="75"/>
      <w:ind w:right="360" w:firstLine="360"/>
      <w:rPr>
        <w:rStyle w:val="43"/>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ECE9A6">
    <w:pPr>
      <w:pStyle w:val="75"/>
      <w:jc w:val="center"/>
      <w:rPr>
        <w:rStyle w:val="43"/>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037550">
                          <w:pPr>
                            <w:pStyle w:val="2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37037550">
                    <w:pPr>
                      <w:pStyle w:val="20"/>
                    </w:pPr>
                    <w:r>
                      <w:fldChar w:fldCharType="begin"/>
                    </w:r>
                    <w:r>
                      <w:instrText xml:space="preserve"> PAGE  \* MERGEFORMAT </w:instrText>
                    </w:r>
                    <w:r>
                      <w:fldChar w:fldCharType="separate"/>
                    </w:r>
                    <w:r>
                      <w:t>1</w:t>
                    </w:r>
                    <w:r>
                      <w:fldChar w:fldCharType="end"/>
                    </w:r>
                  </w:p>
                </w:txbxContent>
              </v:textbox>
            </v:shape>
          </w:pict>
        </mc:Fallback>
      </mc:AlternateContent>
    </w:r>
    <w:r>
      <w:rPr>
        <w:rStyle w:val="43"/>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410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C18F139">
                          <w:pPr>
                            <w:pStyle w:val="75"/>
                            <w:rPr>
                              <w:rStyle w:val="43"/>
                            </w:rPr>
                          </w:pPr>
                        </w:p>
                        <w:p w14:paraId="48D2E2C2">
                          <w:pPr>
                            <w:rPr>
                              <w:rStyle w:val="43"/>
                            </w:rPr>
                          </w:pPr>
                        </w:p>
                      </w:txbxContent>
                    </wps:txbx>
                    <wps:bodyPr lIns="0" tIns="0" rIns="0" bIns="0" upright="1"/>
                  </wps:wsp>
                </a:graphicData>
              </a:graphic>
            </wp:anchor>
          </w:drawing>
        </mc:Choice>
        <mc:Fallback>
          <w:pict>
            <v:shape id="4100" o:spid="_x0000_s1026" o:spt="202" type="#_x0000_t202" style="position:absolute;left:0pt;margin-top:0pt;height:144pt;width:144pt;mso-position-horizontal:center;mso-position-horizontal-relative:margin;z-index:251661312;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3k+vNaoBAAB2AwAADgAAAGRycy9lMm9Eb2MueG1srVPBbtswDL0P&#10;6D8Iui92gnUzjDgFhqDFgGEb0PUDFFmKBUiiQCmx8/ejlDgp2ksPu8gUST3yPdLrh8lZdlQYDfiO&#10;Lxc1Z8pL6I3fd/zl7+PnhrOYhO+FBa86flKRP2zuPq3H0KoVDGB7hYxAfGzH0PEhpdBWVZSDciIu&#10;IChPQQ3oRKIr7qsexUjozlaruv5ajYB9QJAqRvJuz0F+QcSPAILWRqotyINTPp1RUVmRiFIcTIh8&#10;U7rVWsn0W+uoErMdJ6apnFSE7F0+q81atHsUYTDy0oL4SAtvODlhPBW9Qm1FEuyA5h2UMxIhgk4L&#10;Ca46EymKEItl/Uab50EEVbiQ1DFcRY//D1b+Ov5BZnraBM68cDTwL8u66DKG2FL4OVBCmr7DlHNI&#10;r+yP5Mx0J40uf4kIoziperqqqqbEZH7UrJqGIJmk2HwhnOr2PGBMTwocy0bHkcZW1BTHnzGdU+eU&#10;XM3Do7G2jM56NhLqffPtvry4hgjdeipy6zZbadpNFwo76E/EzP7wJGdejdnA2djNxiGg2Q/UWOFf&#10;IGkchcFldfK8X99L4dvvsv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e7jl9IAAAAFAQAADwAA&#10;AAAAAAABACAAAAAiAAAAZHJzL2Rvd25yZXYueG1sUEsBAhQAFAAAAAgAh07iQN5PrzWqAQAAdgMA&#10;AA4AAAAAAAAAAQAgAAAAIQEAAGRycy9lMm9Eb2MueG1sUEsFBgAAAAAGAAYAWQEAAD0FAAAAAA==&#10;">
              <v:fill on="f" focussize="0,0"/>
              <v:stroke on="f" weight="1.25pt"/>
              <v:imagedata o:title=""/>
              <o:lock v:ext="edit" aspectratio="f"/>
              <v:textbox inset="0mm,0mm,0mm,0mm">
                <w:txbxContent>
                  <w:p w14:paraId="0C18F139">
                    <w:pPr>
                      <w:pStyle w:val="75"/>
                      <w:rPr>
                        <w:rStyle w:val="43"/>
                      </w:rPr>
                    </w:pPr>
                  </w:p>
                  <w:p w14:paraId="48D2E2C2">
                    <w:pPr>
                      <w:rPr>
                        <w:rStyle w:val="43"/>
                      </w:rPr>
                    </w:pPr>
                  </w:p>
                </w:txbxContent>
              </v:textbox>
            </v:shape>
          </w:pict>
        </mc:Fallback>
      </mc:AlternateContent>
    </w:r>
    <w:r>
      <w:rPr>
        <w:rStyle w:val="43"/>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857885" cy="147955"/>
              <wp:effectExtent l="0" t="0" r="0" b="0"/>
              <wp:wrapNone/>
              <wp:docPr id="2" name="4101"/>
              <wp:cNvGraphicFramePr/>
              <a:graphic xmlns:a="http://schemas.openxmlformats.org/drawingml/2006/main">
                <a:graphicData uri="http://schemas.microsoft.com/office/word/2010/wordprocessingShape">
                  <wps:wsp>
                    <wps:cNvSpPr txBox="1"/>
                    <wps:spPr>
                      <a:xfrm>
                        <a:off x="0" y="0"/>
                        <a:ext cx="857885" cy="147955"/>
                      </a:xfrm>
                      <a:prstGeom prst="rect">
                        <a:avLst/>
                      </a:prstGeom>
                      <a:noFill/>
                      <a:ln>
                        <a:noFill/>
                      </a:ln>
                    </wps:spPr>
                    <wps:txbx>
                      <w:txbxContent>
                        <w:p w14:paraId="07974808">
                          <w:pPr>
                            <w:snapToGrid w:val="0"/>
                            <w:rPr>
                              <w:rStyle w:val="43"/>
                              <w:sz w:val="18"/>
                            </w:rPr>
                          </w:pPr>
                        </w:p>
                        <w:p w14:paraId="746C58B8">
                          <w:pPr>
                            <w:rPr>
                              <w:rStyle w:val="43"/>
                            </w:rPr>
                          </w:pPr>
                        </w:p>
                      </w:txbxContent>
                    </wps:txbx>
                    <wps:bodyPr lIns="0" tIns="0" rIns="0" bIns="0" upright="1"/>
                  </wps:wsp>
                </a:graphicData>
              </a:graphic>
            </wp:anchor>
          </w:drawing>
        </mc:Choice>
        <mc:Fallback>
          <w:pict>
            <v:shape id="4101" o:spid="_x0000_s1026" o:spt="202" type="#_x0000_t202" style="position:absolute;left:0pt;margin-top:0pt;height:11.65pt;width:67.55pt;mso-position-horizontal:center;mso-position-horizontal-relative:margin;z-index:251662336;mso-width-relative:page;mso-height-relative:page;" filled="f" stroked="f" coordsize="21600,21600" o:gfxdata="UEsDBAoAAAAAAIdO4kAAAAAAAAAAAAAAAAAEAAAAZHJzL1BLAwQUAAAACACHTuJAf7urctQAAAAE&#10;AQAADwAAAGRycy9kb3ducmV2LnhtbE2PzU7DMBCE70i8g7VI3KidRlQQ4lQIwQkJkYYDx028TazG&#10;6xC7P7w9Lhe4rDSa0cy35frkRnGgOVjPGrKFAkHceWO51/DRvNzcgQgR2eDomTR8U4B1dXlRYmH8&#10;kWs6bGIvUgmHAjUMMU6FlKEbyGFY+Ik4eVs/O4xJzr00Mx5TuRvlUqmVdGg5LQw40dNA3W6zdxoe&#10;P7l+tl9v7Xu9rW3T3Ct+Xe20vr7K1AOISKf4F4YzfkKHKjG1fs8miFFDeiT+3rOX32YgWg3LPAdZ&#10;lfI/fPUDUEsDBBQAAAAIAIdO4kCaA5rRqAEAAGoDAAAOAAAAZHJzL2Uyb0RvYy54bWytU8FuGyEQ&#10;vVfqPyDuNbtW3DgrryNVVqJKVVspyQdgFrxIwCDA3vXfd2C9TpNecuiFHWbYN++9gc39aA05yRA1&#10;uJbWi4oS6QR02h1a+vL88GVNSUzcddyAky09y0jvt58/bQbfyCX0YDoZCIK42Ay+pX1KvmEsil5a&#10;HhfgpcOigmB5wm04sC7wAdGtYcuq+soGCJ0PIGSMmN1NRXpBDB8BBKW0kDsQRytdmlCDNDyhpNhr&#10;H+m2sFVKivRLqSgTMS1Fpams2ATjfV7ZdsObQ+C+1+JCgX+EwjtNlmuHTa9QO544OQb9D5TVIkAE&#10;lRYCLJuEFEdQRV298+ap514WLWh19FfT4/+DFT9PvwPRXUuXlDhuceA3dVVnXwYfGyw/eTyQxm8w&#10;4m2Z8xGTWe6ogs1fFEKwjq6er67KMRGByfXqdr1eUSKwVN/c3q1WGYW9/uxDTI8SLMlBSwMOrXjJ&#10;Tz9imo7OR3IvBw/amDI4494kEDNnWGY+McxRGvfjRc4eujOqMd8dWpivwxyEOdjPwdEHfeiRTtFc&#10;IHEEhffluuQZ/70vjV+fyPY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f7urctQAAAAEAQAADwAA&#10;AAAAAAABACAAAAAiAAAAZHJzL2Rvd25yZXYueG1sUEsBAhQAFAAAAAgAh07iQJoDmtGoAQAAagMA&#10;AA4AAAAAAAAAAQAgAAAAIwEAAGRycy9lMm9Eb2MueG1sUEsFBgAAAAAGAAYAWQEAAD0FAAAAAA==&#10;">
              <v:fill on="f" focussize="0,0"/>
              <v:stroke on="f"/>
              <v:imagedata o:title=""/>
              <o:lock v:ext="edit" aspectratio="f"/>
              <v:textbox inset="0mm,0mm,0mm,0mm">
                <w:txbxContent>
                  <w:p w14:paraId="07974808">
                    <w:pPr>
                      <w:snapToGrid w:val="0"/>
                      <w:rPr>
                        <w:rStyle w:val="43"/>
                        <w:sz w:val="18"/>
                      </w:rPr>
                    </w:pPr>
                  </w:p>
                  <w:p w14:paraId="746C58B8">
                    <w:pPr>
                      <w:rPr>
                        <w:rStyle w:val="43"/>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CE2CF">
    <w:pPr>
      <w:pStyle w:val="77"/>
      <w:rPr>
        <w:rStyle w:val="43"/>
      </w:rPr>
    </w:pPr>
    <w:r>
      <w:rPr>
        <w:rStyle w:val="43"/>
      </w:rPr>
      <w:t>南</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08CE2E">
    <w:pPr>
      <w:pStyle w:val="77"/>
      <w:rPr>
        <w:rStyle w:val="43"/>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34BE32">
    <w:pPr>
      <w:tabs>
        <w:tab w:val="left" w:pos="6300"/>
      </w:tabs>
      <w:snapToGrid w:val="0"/>
      <w:spacing w:line="300" w:lineRule="auto"/>
      <w:rPr>
        <w:rStyle w:val="43"/>
        <w:b/>
        <w:color w:val="00000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0049F7">
    <w:pPr>
      <w:pStyle w:val="77"/>
      <w:pBdr>
        <w:bottom w:val="none" w:color="auto" w:sz="0" w:space="0"/>
      </w:pBdr>
      <w:tabs>
        <w:tab w:val="left" w:pos="540"/>
      </w:tabs>
      <w:jc w:val="both"/>
      <w:rPr>
        <w:rStyle w:val="43"/>
      </w:rPr>
    </w:pPr>
    <w:r>
      <w:rPr>
        <w:rStyle w:val="43"/>
      </w:rPr>
      <w:tab/>
    </w:r>
    <w:r>
      <w:rPr>
        <w:rStyle w:val="43"/>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FA966">
    <w:pPr>
      <w:tabs>
        <w:tab w:val="left" w:pos="6300"/>
      </w:tabs>
      <w:snapToGrid w:val="0"/>
      <w:spacing w:line="300" w:lineRule="auto"/>
      <w:rPr>
        <w:rStyle w:val="43"/>
      </w:rPr>
    </w:pPr>
    <w:r>
      <w:rPr>
        <w:rStyle w:val="43"/>
        <w:b/>
        <w:color w:val="00000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59152A"/>
    <w:multiLevelType w:val="singleLevel"/>
    <w:tmpl w:val="C959152A"/>
    <w:lvl w:ilvl="0" w:tentative="0">
      <w:start w:val="1"/>
      <w:numFmt w:val="bullet"/>
      <w:pStyle w:val="32"/>
      <w:lvlText w:val=""/>
      <w:lvlJc w:val="left"/>
      <w:pPr>
        <w:tabs>
          <w:tab w:val="left" w:pos="780"/>
        </w:tabs>
        <w:ind w:left="780" w:hanging="360"/>
      </w:pPr>
      <w:rPr>
        <w:rFonts w:ascii="Wingdings" w:hAnsi="Wingdings"/>
      </w:rPr>
    </w:lvl>
  </w:abstractNum>
  <w:abstractNum w:abstractNumId="1">
    <w:nsid w:val="D7573C3E"/>
    <w:multiLevelType w:val="singleLevel"/>
    <w:tmpl w:val="D7573C3E"/>
    <w:lvl w:ilvl="0" w:tentative="0">
      <w:start w:val="1"/>
      <w:numFmt w:val="decimal"/>
      <w:pStyle w:val="17"/>
      <w:lvlText w:val="%1."/>
      <w:lvlJc w:val="left"/>
      <w:pPr>
        <w:tabs>
          <w:tab w:val="left" w:pos="2040"/>
        </w:tabs>
        <w:ind w:left="2040" w:hanging="360"/>
      </w:pPr>
    </w:lvl>
  </w:abstractNum>
  <w:abstractNum w:abstractNumId="2">
    <w:nsid w:val="00000002"/>
    <w:multiLevelType w:val="singleLevel"/>
    <w:tmpl w:val="00000002"/>
    <w:lvl w:ilvl="0" w:tentative="0">
      <w:start w:val="1"/>
      <w:numFmt w:val="decimal"/>
      <w:suff w:val="nothing"/>
      <w:lvlText w:val="（%1）"/>
      <w:lvlJc w:val="left"/>
      <w:pPr>
        <w:textAlignment w:val="baseline"/>
      </w:pPr>
    </w:lvl>
  </w:abstractNum>
  <w:abstractNum w:abstractNumId="3">
    <w:nsid w:val="00000005"/>
    <w:multiLevelType w:val="singleLevel"/>
    <w:tmpl w:val="00000005"/>
    <w:lvl w:ilvl="0" w:tentative="0">
      <w:start w:val="2"/>
      <w:numFmt w:val="chineseCounting"/>
      <w:suff w:val="nothing"/>
      <w:lvlText w:val="（%1）"/>
      <w:lvlJc w:val="left"/>
      <w:pPr>
        <w:textAlignment w:val="baseline"/>
      </w:pPr>
    </w:lvl>
  </w:abstractNum>
  <w:abstractNum w:abstractNumId="4">
    <w:nsid w:val="00000006"/>
    <w:multiLevelType w:val="singleLevel"/>
    <w:tmpl w:val="00000006"/>
    <w:lvl w:ilvl="0" w:tentative="0">
      <w:start w:val="1"/>
      <w:numFmt w:val="chineseCounting"/>
      <w:suff w:val="space"/>
      <w:lvlText w:val="第%1章"/>
      <w:lvlJc w:val="left"/>
      <w:rPr>
        <w:rFonts w:hint="eastAsia"/>
      </w:rPr>
    </w:lvl>
  </w:abstractNum>
  <w:abstractNum w:abstractNumId="5">
    <w:nsid w:val="0000000F"/>
    <w:multiLevelType w:val="multilevel"/>
    <w:tmpl w:val="0000000F"/>
    <w:lvl w:ilvl="0" w:tentative="0">
      <w:start w:val="1"/>
      <w:numFmt w:val="chineseCountingThousand"/>
      <w:pStyle w:val="7"/>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10"/>
    <w:multiLevelType w:val="multilevel"/>
    <w:tmpl w:val="00000010"/>
    <w:lvl w:ilvl="0" w:tentative="0">
      <w:start w:val="1"/>
      <w:numFmt w:val="chineseCountingThousand"/>
      <w:pStyle w:val="8"/>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6"/>
  </w:num>
  <w:num w:numId="3">
    <w:abstractNumId w:val="1"/>
  </w:num>
  <w:num w:numId="4">
    <w:abstractNumId w:val="0"/>
  </w:num>
  <w:num w:numId="5">
    <w:abstractNumId w:val="4"/>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5"/>
  <w:displayHorizontalDrawingGridEvery w:val="1"/>
  <w:displayVerticalDrawingGridEvery w:val="1"/>
  <w:doNotUseMarginsForDrawingGridOrigin w:val="1"/>
  <w:drawingGridHorizontalOrigin w:val="1800"/>
  <w:drawingGridVerticalOrigin w:val="1440"/>
  <w:noPunctuationKerning w:val="1"/>
  <w:characterSpacingControl w:val="doNotCompress"/>
  <w:footnotePr>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c3NGZiODMwZWIxNGQ1ZGM3NzU3NzM0MzJmZjJlOWYifQ=="/>
  </w:docVars>
  <w:rsids>
    <w:rsidRoot w:val="00172A27"/>
    <w:rsid w:val="00044EF2"/>
    <w:rsid w:val="00172A27"/>
    <w:rsid w:val="00297636"/>
    <w:rsid w:val="002D5409"/>
    <w:rsid w:val="004001C1"/>
    <w:rsid w:val="004228AB"/>
    <w:rsid w:val="00436DBD"/>
    <w:rsid w:val="00482762"/>
    <w:rsid w:val="004F2B7F"/>
    <w:rsid w:val="005925E0"/>
    <w:rsid w:val="005C6ADC"/>
    <w:rsid w:val="006304F8"/>
    <w:rsid w:val="00684ABB"/>
    <w:rsid w:val="007E2C8C"/>
    <w:rsid w:val="00897C70"/>
    <w:rsid w:val="009058CF"/>
    <w:rsid w:val="00A12774"/>
    <w:rsid w:val="00A24888"/>
    <w:rsid w:val="00B73B43"/>
    <w:rsid w:val="00BC2A22"/>
    <w:rsid w:val="00BC579B"/>
    <w:rsid w:val="00C2761D"/>
    <w:rsid w:val="00C73B0A"/>
    <w:rsid w:val="00CA411A"/>
    <w:rsid w:val="00CE18CD"/>
    <w:rsid w:val="00D10663"/>
    <w:rsid w:val="00DB4FB5"/>
    <w:rsid w:val="00DC19CB"/>
    <w:rsid w:val="00E40880"/>
    <w:rsid w:val="00E6076F"/>
    <w:rsid w:val="00F05314"/>
    <w:rsid w:val="01130DE1"/>
    <w:rsid w:val="01377292"/>
    <w:rsid w:val="01401F5A"/>
    <w:rsid w:val="016D6DC2"/>
    <w:rsid w:val="019E306E"/>
    <w:rsid w:val="01A71FD9"/>
    <w:rsid w:val="01DC45A5"/>
    <w:rsid w:val="01F71E54"/>
    <w:rsid w:val="020E364B"/>
    <w:rsid w:val="02272D62"/>
    <w:rsid w:val="028D4436"/>
    <w:rsid w:val="028E4F47"/>
    <w:rsid w:val="02901F89"/>
    <w:rsid w:val="02A164B1"/>
    <w:rsid w:val="02B42FAF"/>
    <w:rsid w:val="02CD5A6F"/>
    <w:rsid w:val="032D650E"/>
    <w:rsid w:val="035A307B"/>
    <w:rsid w:val="03637B35"/>
    <w:rsid w:val="03743AAD"/>
    <w:rsid w:val="037B196F"/>
    <w:rsid w:val="03914CEF"/>
    <w:rsid w:val="039842CF"/>
    <w:rsid w:val="03CA1FAF"/>
    <w:rsid w:val="03CC3F79"/>
    <w:rsid w:val="04090D29"/>
    <w:rsid w:val="041E32B7"/>
    <w:rsid w:val="043C4C38"/>
    <w:rsid w:val="043D438A"/>
    <w:rsid w:val="043D6C25"/>
    <w:rsid w:val="04522EB1"/>
    <w:rsid w:val="048C0506"/>
    <w:rsid w:val="04AA4233"/>
    <w:rsid w:val="04AC4469"/>
    <w:rsid w:val="04D01EF4"/>
    <w:rsid w:val="04D53301"/>
    <w:rsid w:val="04FF3EDA"/>
    <w:rsid w:val="05066DF9"/>
    <w:rsid w:val="057A317B"/>
    <w:rsid w:val="05812B41"/>
    <w:rsid w:val="05A82B67"/>
    <w:rsid w:val="05B64EE1"/>
    <w:rsid w:val="05DE136C"/>
    <w:rsid w:val="05E51322"/>
    <w:rsid w:val="05FD4C50"/>
    <w:rsid w:val="065E2E82"/>
    <w:rsid w:val="06B01930"/>
    <w:rsid w:val="06CC597B"/>
    <w:rsid w:val="06F105E8"/>
    <w:rsid w:val="072E563C"/>
    <w:rsid w:val="077C680D"/>
    <w:rsid w:val="07AE561F"/>
    <w:rsid w:val="07C17B6D"/>
    <w:rsid w:val="07D478A0"/>
    <w:rsid w:val="07DA6E11"/>
    <w:rsid w:val="0818132C"/>
    <w:rsid w:val="082D6FB0"/>
    <w:rsid w:val="08424D62"/>
    <w:rsid w:val="08456031"/>
    <w:rsid w:val="08591B53"/>
    <w:rsid w:val="087523D5"/>
    <w:rsid w:val="087C2F45"/>
    <w:rsid w:val="08B2796D"/>
    <w:rsid w:val="08C6368D"/>
    <w:rsid w:val="08D13DE0"/>
    <w:rsid w:val="09823515"/>
    <w:rsid w:val="09A267DE"/>
    <w:rsid w:val="09BE11AF"/>
    <w:rsid w:val="09CE6D98"/>
    <w:rsid w:val="09D83091"/>
    <w:rsid w:val="0A2D14EA"/>
    <w:rsid w:val="0A4D65AF"/>
    <w:rsid w:val="0A7A451E"/>
    <w:rsid w:val="0A830604"/>
    <w:rsid w:val="0A8607D1"/>
    <w:rsid w:val="0A911A78"/>
    <w:rsid w:val="0ABE3670"/>
    <w:rsid w:val="0AC53B39"/>
    <w:rsid w:val="0AE5475F"/>
    <w:rsid w:val="0AEC3153"/>
    <w:rsid w:val="0B180287"/>
    <w:rsid w:val="0B3D39AE"/>
    <w:rsid w:val="0B420FC5"/>
    <w:rsid w:val="0B4364E5"/>
    <w:rsid w:val="0B4C32C1"/>
    <w:rsid w:val="0B5A402C"/>
    <w:rsid w:val="0B5F3925"/>
    <w:rsid w:val="0B72796A"/>
    <w:rsid w:val="0BA352C2"/>
    <w:rsid w:val="0BC11EE9"/>
    <w:rsid w:val="0BCA5242"/>
    <w:rsid w:val="0C1143DB"/>
    <w:rsid w:val="0C6D2071"/>
    <w:rsid w:val="0C6D6BB8"/>
    <w:rsid w:val="0C896A04"/>
    <w:rsid w:val="0C9037D2"/>
    <w:rsid w:val="0C9615C8"/>
    <w:rsid w:val="0CA070FC"/>
    <w:rsid w:val="0CEE4346"/>
    <w:rsid w:val="0D3D1A44"/>
    <w:rsid w:val="0D720C66"/>
    <w:rsid w:val="0D8A2613"/>
    <w:rsid w:val="0D9421C3"/>
    <w:rsid w:val="0DD203DE"/>
    <w:rsid w:val="0E2B3F92"/>
    <w:rsid w:val="0E4F0A3A"/>
    <w:rsid w:val="0E634EBC"/>
    <w:rsid w:val="0E6A6692"/>
    <w:rsid w:val="0EB577E3"/>
    <w:rsid w:val="0ED8267C"/>
    <w:rsid w:val="0F096AF5"/>
    <w:rsid w:val="0F0C5B71"/>
    <w:rsid w:val="0F2343C7"/>
    <w:rsid w:val="0F485780"/>
    <w:rsid w:val="0F485C18"/>
    <w:rsid w:val="0F760A24"/>
    <w:rsid w:val="0F790619"/>
    <w:rsid w:val="0F8041BF"/>
    <w:rsid w:val="0FE715BA"/>
    <w:rsid w:val="10103E2A"/>
    <w:rsid w:val="10485B98"/>
    <w:rsid w:val="1057164E"/>
    <w:rsid w:val="105E41AB"/>
    <w:rsid w:val="10887977"/>
    <w:rsid w:val="109A71BE"/>
    <w:rsid w:val="109F4205"/>
    <w:rsid w:val="10D0180D"/>
    <w:rsid w:val="10D206F5"/>
    <w:rsid w:val="110411F6"/>
    <w:rsid w:val="112930E3"/>
    <w:rsid w:val="114F14E4"/>
    <w:rsid w:val="11511160"/>
    <w:rsid w:val="115A5332"/>
    <w:rsid w:val="11763776"/>
    <w:rsid w:val="118F0306"/>
    <w:rsid w:val="1191235E"/>
    <w:rsid w:val="11B5604C"/>
    <w:rsid w:val="11C75D80"/>
    <w:rsid w:val="11D0743D"/>
    <w:rsid w:val="11D9483A"/>
    <w:rsid w:val="11E626AA"/>
    <w:rsid w:val="11E71C7F"/>
    <w:rsid w:val="11ED062D"/>
    <w:rsid w:val="12057B1E"/>
    <w:rsid w:val="12270DDE"/>
    <w:rsid w:val="124D6DC2"/>
    <w:rsid w:val="125448F2"/>
    <w:rsid w:val="12647A72"/>
    <w:rsid w:val="12E666D9"/>
    <w:rsid w:val="12F51F29"/>
    <w:rsid w:val="12FD5DF9"/>
    <w:rsid w:val="130D1EB8"/>
    <w:rsid w:val="13162A0E"/>
    <w:rsid w:val="13357985"/>
    <w:rsid w:val="135971B8"/>
    <w:rsid w:val="137974FF"/>
    <w:rsid w:val="13DD4CA4"/>
    <w:rsid w:val="14123C2A"/>
    <w:rsid w:val="141F580A"/>
    <w:rsid w:val="143E6F3E"/>
    <w:rsid w:val="14432035"/>
    <w:rsid w:val="14611454"/>
    <w:rsid w:val="146B1723"/>
    <w:rsid w:val="146D1F56"/>
    <w:rsid w:val="147D09F5"/>
    <w:rsid w:val="147D6BCA"/>
    <w:rsid w:val="14935CF8"/>
    <w:rsid w:val="14C50C9C"/>
    <w:rsid w:val="15204125"/>
    <w:rsid w:val="152466FE"/>
    <w:rsid w:val="154B4A28"/>
    <w:rsid w:val="15791F29"/>
    <w:rsid w:val="15A15DEA"/>
    <w:rsid w:val="15A44D56"/>
    <w:rsid w:val="15BB616E"/>
    <w:rsid w:val="15C0438C"/>
    <w:rsid w:val="15D31197"/>
    <w:rsid w:val="15E50ECA"/>
    <w:rsid w:val="15FC2A56"/>
    <w:rsid w:val="15FD7FC2"/>
    <w:rsid w:val="16095600"/>
    <w:rsid w:val="165D1EF2"/>
    <w:rsid w:val="16702E8A"/>
    <w:rsid w:val="16885A42"/>
    <w:rsid w:val="168B3820"/>
    <w:rsid w:val="16A80D46"/>
    <w:rsid w:val="16BC52BE"/>
    <w:rsid w:val="16D863F6"/>
    <w:rsid w:val="170A0BE8"/>
    <w:rsid w:val="172A480E"/>
    <w:rsid w:val="175B36D4"/>
    <w:rsid w:val="177B7D38"/>
    <w:rsid w:val="177B7F9C"/>
    <w:rsid w:val="17A10058"/>
    <w:rsid w:val="17B66205"/>
    <w:rsid w:val="17B953F3"/>
    <w:rsid w:val="17C84600"/>
    <w:rsid w:val="17CE60BA"/>
    <w:rsid w:val="181E3159"/>
    <w:rsid w:val="1821051F"/>
    <w:rsid w:val="18226406"/>
    <w:rsid w:val="185D2F9A"/>
    <w:rsid w:val="186E6F48"/>
    <w:rsid w:val="188E5E3A"/>
    <w:rsid w:val="189B29F1"/>
    <w:rsid w:val="18C1177B"/>
    <w:rsid w:val="18C7778D"/>
    <w:rsid w:val="18C96775"/>
    <w:rsid w:val="18D15FE1"/>
    <w:rsid w:val="18D72B84"/>
    <w:rsid w:val="191267CF"/>
    <w:rsid w:val="192A5572"/>
    <w:rsid w:val="193261D5"/>
    <w:rsid w:val="1954439D"/>
    <w:rsid w:val="19557392"/>
    <w:rsid w:val="19575C3B"/>
    <w:rsid w:val="19901D39"/>
    <w:rsid w:val="19A317CF"/>
    <w:rsid w:val="19C808E7"/>
    <w:rsid w:val="19F94BE7"/>
    <w:rsid w:val="1A082499"/>
    <w:rsid w:val="1A424B3D"/>
    <w:rsid w:val="1A6237F9"/>
    <w:rsid w:val="1A6B1489"/>
    <w:rsid w:val="1A734CF7"/>
    <w:rsid w:val="1A9A6727"/>
    <w:rsid w:val="1AAB2C02"/>
    <w:rsid w:val="1AB3273D"/>
    <w:rsid w:val="1AB44C3E"/>
    <w:rsid w:val="1AC7726A"/>
    <w:rsid w:val="1AD20C3E"/>
    <w:rsid w:val="1AD60E50"/>
    <w:rsid w:val="1AEF715B"/>
    <w:rsid w:val="1AF1477C"/>
    <w:rsid w:val="1AFF22F6"/>
    <w:rsid w:val="1B01690C"/>
    <w:rsid w:val="1B2B0976"/>
    <w:rsid w:val="1B513191"/>
    <w:rsid w:val="1B574618"/>
    <w:rsid w:val="1BB8291C"/>
    <w:rsid w:val="1BD45C69"/>
    <w:rsid w:val="1C1077A1"/>
    <w:rsid w:val="1C19367C"/>
    <w:rsid w:val="1C4E77C9"/>
    <w:rsid w:val="1C59320A"/>
    <w:rsid w:val="1C760ACE"/>
    <w:rsid w:val="1C9A0C60"/>
    <w:rsid w:val="1C9E7D80"/>
    <w:rsid w:val="1CA042F8"/>
    <w:rsid w:val="1CA46F07"/>
    <w:rsid w:val="1CB659F1"/>
    <w:rsid w:val="1CBB4733"/>
    <w:rsid w:val="1CC058CE"/>
    <w:rsid w:val="1D1A7A3A"/>
    <w:rsid w:val="1D1F4CC2"/>
    <w:rsid w:val="1D290FE7"/>
    <w:rsid w:val="1D584EAC"/>
    <w:rsid w:val="1D5E2000"/>
    <w:rsid w:val="1D7F054E"/>
    <w:rsid w:val="1D88193C"/>
    <w:rsid w:val="1D9C5508"/>
    <w:rsid w:val="1DA454A7"/>
    <w:rsid w:val="1DB7139E"/>
    <w:rsid w:val="1DCA0189"/>
    <w:rsid w:val="1DFD58D2"/>
    <w:rsid w:val="1E1B5A68"/>
    <w:rsid w:val="1E592455"/>
    <w:rsid w:val="1EAB48EF"/>
    <w:rsid w:val="1EB12B65"/>
    <w:rsid w:val="1EBE453C"/>
    <w:rsid w:val="1EE6133B"/>
    <w:rsid w:val="1F0E4FEE"/>
    <w:rsid w:val="1F12485E"/>
    <w:rsid w:val="1F2667DB"/>
    <w:rsid w:val="1F422EEA"/>
    <w:rsid w:val="1F520E6A"/>
    <w:rsid w:val="1F552C1D"/>
    <w:rsid w:val="1F853FB3"/>
    <w:rsid w:val="201E7CF1"/>
    <w:rsid w:val="20610C7D"/>
    <w:rsid w:val="20621CAE"/>
    <w:rsid w:val="208C2592"/>
    <w:rsid w:val="208C62EB"/>
    <w:rsid w:val="20956523"/>
    <w:rsid w:val="209916F9"/>
    <w:rsid w:val="209C2C89"/>
    <w:rsid w:val="209D2ACD"/>
    <w:rsid w:val="20A3083C"/>
    <w:rsid w:val="20B35D18"/>
    <w:rsid w:val="20B35E4D"/>
    <w:rsid w:val="20D81D57"/>
    <w:rsid w:val="20DD111C"/>
    <w:rsid w:val="20E271F4"/>
    <w:rsid w:val="21011B70"/>
    <w:rsid w:val="21212F05"/>
    <w:rsid w:val="213C0A60"/>
    <w:rsid w:val="21C51D7B"/>
    <w:rsid w:val="21D146CE"/>
    <w:rsid w:val="21F6732A"/>
    <w:rsid w:val="22031056"/>
    <w:rsid w:val="222339F7"/>
    <w:rsid w:val="224156DA"/>
    <w:rsid w:val="224621A6"/>
    <w:rsid w:val="227D5433"/>
    <w:rsid w:val="22A30143"/>
    <w:rsid w:val="22A77C33"/>
    <w:rsid w:val="22BB43D7"/>
    <w:rsid w:val="22F866E1"/>
    <w:rsid w:val="23376FB6"/>
    <w:rsid w:val="233A4603"/>
    <w:rsid w:val="23461A44"/>
    <w:rsid w:val="237815D0"/>
    <w:rsid w:val="23A14683"/>
    <w:rsid w:val="23AE5B30"/>
    <w:rsid w:val="23D55435"/>
    <w:rsid w:val="23DC094E"/>
    <w:rsid w:val="23DD3EED"/>
    <w:rsid w:val="23FA0237"/>
    <w:rsid w:val="24156CEF"/>
    <w:rsid w:val="243C42B2"/>
    <w:rsid w:val="243F3E9B"/>
    <w:rsid w:val="244509F9"/>
    <w:rsid w:val="244E37C0"/>
    <w:rsid w:val="245A1ED5"/>
    <w:rsid w:val="24924BC2"/>
    <w:rsid w:val="249A2142"/>
    <w:rsid w:val="249B0E5F"/>
    <w:rsid w:val="24DE1906"/>
    <w:rsid w:val="24E30CCB"/>
    <w:rsid w:val="24EF3B86"/>
    <w:rsid w:val="250F1AC0"/>
    <w:rsid w:val="25574617"/>
    <w:rsid w:val="256C1214"/>
    <w:rsid w:val="257A388A"/>
    <w:rsid w:val="259542DD"/>
    <w:rsid w:val="25D335FC"/>
    <w:rsid w:val="25DD09CB"/>
    <w:rsid w:val="25EA5EF1"/>
    <w:rsid w:val="263306B3"/>
    <w:rsid w:val="26435EC5"/>
    <w:rsid w:val="2657371E"/>
    <w:rsid w:val="26587A0C"/>
    <w:rsid w:val="26712A32"/>
    <w:rsid w:val="267C13D7"/>
    <w:rsid w:val="26964247"/>
    <w:rsid w:val="26C64244"/>
    <w:rsid w:val="26CB0E4D"/>
    <w:rsid w:val="26DD3D18"/>
    <w:rsid w:val="27006243"/>
    <w:rsid w:val="270E5FB0"/>
    <w:rsid w:val="273852FE"/>
    <w:rsid w:val="27534C9A"/>
    <w:rsid w:val="275763AD"/>
    <w:rsid w:val="276E5B60"/>
    <w:rsid w:val="276E6F72"/>
    <w:rsid w:val="27700C00"/>
    <w:rsid w:val="27710810"/>
    <w:rsid w:val="278422F1"/>
    <w:rsid w:val="27BE4912"/>
    <w:rsid w:val="27C82C4B"/>
    <w:rsid w:val="27CC3C98"/>
    <w:rsid w:val="27E86D24"/>
    <w:rsid w:val="27F52490"/>
    <w:rsid w:val="28002AA5"/>
    <w:rsid w:val="28215273"/>
    <w:rsid w:val="28553C8E"/>
    <w:rsid w:val="287E7B6F"/>
    <w:rsid w:val="2887307F"/>
    <w:rsid w:val="28884063"/>
    <w:rsid w:val="28A15125"/>
    <w:rsid w:val="28C90473"/>
    <w:rsid w:val="28F416F8"/>
    <w:rsid w:val="28F65823"/>
    <w:rsid w:val="28FB65E3"/>
    <w:rsid w:val="29030196"/>
    <w:rsid w:val="292E01A8"/>
    <w:rsid w:val="29314D6E"/>
    <w:rsid w:val="295430D4"/>
    <w:rsid w:val="295E5E8B"/>
    <w:rsid w:val="29606395"/>
    <w:rsid w:val="298712DB"/>
    <w:rsid w:val="298F3264"/>
    <w:rsid w:val="29DE3D0C"/>
    <w:rsid w:val="29E24F4B"/>
    <w:rsid w:val="29ED2567"/>
    <w:rsid w:val="2A1A518F"/>
    <w:rsid w:val="2A2602AA"/>
    <w:rsid w:val="2A453042"/>
    <w:rsid w:val="2A7523C5"/>
    <w:rsid w:val="2A80468C"/>
    <w:rsid w:val="2AB7478C"/>
    <w:rsid w:val="2AB90504"/>
    <w:rsid w:val="2AC25DE5"/>
    <w:rsid w:val="2ACE4132"/>
    <w:rsid w:val="2ADB0124"/>
    <w:rsid w:val="2ADB3A28"/>
    <w:rsid w:val="2B141BDE"/>
    <w:rsid w:val="2B195446"/>
    <w:rsid w:val="2B1971F4"/>
    <w:rsid w:val="2B241884"/>
    <w:rsid w:val="2B281665"/>
    <w:rsid w:val="2B2F367F"/>
    <w:rsid w:val="2B395AE8"/>
    <w:rsid w:val="2B935881"/>
    <w:rsid w:val="2BA074D5"/>
    <w:rsid w:val="2BA50A88"/>
    <w:rsid w:val="2BA7478A"/>
    <w:rsid w:val="2BAE4D8A"/>
    <w:rsid w:val="2BB974A6"/>
    <w:rsid w:val="2BF61963"/>
    <w:rsid w:val="2C10541E"/>
    <w:rsid w:val="2C8E3426"/>
    <w:rsid w:val="2C9C632F"/>
    <w:rsid w:val="2D1759B5"/>
    <w:rsid w:val="2D74241F"/>
    <w:rsid w:val="2D903FCB"/>
    <w:rsid w:val="2DAD00C8"/>
    <w:rsid w:val="2DCF2946"/>
    <w:rsid w:val="2DD92C6B"/>
    <w:rsid w:val="2DF47AA5"/>
    <w:rsid w:val="2DF976A4"/>
    <w:rsid w:val="2E055FFA"/>
    <w:rsid w:val="2E07340C"/>
    <w:rsid w:val="2E1A4A99"/>
    <w:rsid w:val="2E1C77C8"/>
    <w:rsid w:val="2E2A2DB4"/>
    <w:rsid w:val="2E3C1F5A"/>
    <w:rsid w:val="2E975000"/>
    <w:rsid w:val="2EC13E2B"/>
    <w:rsid w:val="2F1D3DFC"/>
    <w:rsid w:val="2F416D1A"/>
    <w:rsid w:val="2F566C69"/>
    <w:rsid w:val="2F585700"/>
    <w:rsid w:val="2F762E67"/>
    <w:rsid w:val="2F927906"/>
    <w:rsid w:val="2FA072FA"/>
    <w:rsid w:val="2FB35968"/>
    <w:rsid w:val="2FCE5529"/>
    <w:rsid w:val="2FE70A33"/>
    <w:rsid w:val="2FE71157"/>
    <w:rsid w:val="2FE73D65"/>
    <w:rsid w:val="2FED0D32"/>
    <w:rsid w:val="304E3828"/>
    <w:rsid w:val="305D6F7F"/>
    <w:rsid w:val="305E1101"/>
    <w:rsid w:val="30785DA3"/>
    <w:rsid w:val="307A6CB2"/>
    <w:rsid w:val="307D2E0A"/>
    <w:rsid w:val="30963095"/>
    <w:rsid w:val="309A4933"/>
    <w:rsid w:val="30AE03DF"/>
    <w:rsid w:val="30AE058D"/>
    <w:rsid w:val="30BD6874"/>
    <w:rsid w:val="30FA1876"/>
    <w:rsid w:val="30FC114A"/>
    <w:rsid w:val="31224929"/>
    <w:rsid w:val="3128669C"/>
    <w:rsid w:val="31480833"/>
    <w:rsid w:val="314825E1"/>
    <w:rsid w:val="31794DCD"/>
    <w:rsid w:val="31927D00"/>
    <w:rsid w:val="319677F1"/>
    <w:rsid w:val="31A01A33"/>
    <w:rsid w:val="31A33CBC"/>
    <w:rsid w:val="31D367ED"/>
    <w:rsid w:val="31D7694D"/>
    <w:rsid w:val="31E56C42"/>
    <w:rsid w:val="31FF6F86"/>
    <w:rsid w:val="32432DA9"/>
    <w:rsid w:val="32780CA4"/>
    <w:rsid w:val="327D0BE3"/>
    <w:rsid w:val="3286099B"/>
    <w:rsid w:val="32863A70"/>
    <w:rsid w:val="32F01183"/>
    <w:rsid w:val="33042538"/>
    <w:rsid w:val="33590F6C"/>
    <w:rsid w:val="33875C46"/>
    <w:rsid w:val="33C65265"/>
    <w:rsid w:val="342B1D46"/>
    <w:rsid w:val="3449641B"/>
    <w:rsid w:val="34515C51"/>
    <w:rsid w:val="34586FDF"/>
    <w:rsid w:val="34781430"/>
    <w:rsid w:val="347A51A8"/>
    <w:rsid w:val="348A2F11"/>
    <w:rsid w:val="349D0E96"/>
    <w:rsid w:val="34BF0E0C"/>
    <w:rsid w:val="3512660E"/>
    <w:rsid w:val="353F5AA9"/>
    <w:rsid w:val="357C0AAC"/>
    <w:rsid w:val="358C0127"/>
    <w:rsid w:val="35AB1391"/>
    <w:rsid w:val="35E60C99"/>
    <w:rsid w:val="360E2C5A"/>
    <w:rsid w:val="363E26ED"/>
    <w:rsid w:val="369C3F7E"/>
    <w:rsid w:val="36C06D82"/>
    <w:rsid w:val="36CC24F7"/>
    <w:rsid w:val="36DB574C"/>
    <w:rsid w:val="36E20DE2"/>
    <w:rsid w:val="36E46B3D"/>
    <w:rsid w:val="36FA25D0"/>
    <w:rsid w:val="370B658B"/>
    <w:rsid w:val="374D4675"/>
    <w:rsid w:val="37645C9B"/>
    <w:rsid w:val="377753EA"/>
    <w:rsid w:val="377E3F53"/>
    <w:rsid w:val="37D815AD"/>
    <w:rsid w:val="37DB662E"/>
    <w:rsid w:val="37E61F73"/>
    <w:rsid w:val="382E5616"/>
    <w:rsid w:val="38891B84"/>
    <w:rsid w:val="38A64043"/>
    <w:rsid w:val="38C61A80"/>
    <w:rsid w:val="38CE3F70"/>
    <w:rsid w:val="38EC419A"/>
    <w:rsid w:val="38F1098C"/>
    <w:rsid w:val="38FE28DB"/>
    <w:rsid w:val="390D1272"/>
    <w:rsid w:val="39111E53"/>
    <w:rsid w:val="395A0970"/>
    <w:rsid w:val="39624470"/>
    <w:rsid w:val="396307BF"/>
    <w:rsid w:val="396B1563"/>
    <w:rsid w:val="398443D3"/>
    <w:rsid w:val="3A0476F8"/>
    <w:rsid w:val="3A137505"/>
    <w:rsid w:val="3A2160C5"/>
    <w:rsid w:val="3A233BEC"/>
    <w:rsid w:val="3A395226"/>
    <w:rsid w:val="3A4122C4"/>
    <w:rsid w:val="3A614714"/>
    <w:rsid w:val="3A756851"/>
    <w:rsid w:val="3A7616EB"/>
    <w:rsid w:val="3A9A7E13"/>
    <w:rsid w:val="3AB46F81"/>
    <w:rsid w:val="3ACD1DA9"/>
    <w:rsid w:val="3AD63936"/>
    <w:rsid w:val="3AF9494C"/>
    <w:rsid w:val="3B5838C6"/>
    <w:rsid w:val="3B65791E"/>
    <w:rsid w:val="3B6F2E3C"/>
    <w:rsid w:val="3B785B00"/>
    <w:rsid w:val="3BBC4A99"/>
    <w:rsid w:val="3BC443E8"/>
    <w:rsid w:val="3BD6467A"/>
    <w:rsid w:val="3C0F2B69"/>
    <w:rsid w:val="3C1A4219"/>
    <w:rsid w:val="3C333E8E"/>
    <w:rsid w:val="3C3C35DC"/>
    <w:rsid w:val="3C6329C5"/>
    <w:rsid w:val="3C89758D"/>
    <w:rsid w:val="3C920BB5"/>
    <w:rsid w:val="3C945C4D"/>
    <w:rsid w:val="3C9E39FD"/>
    <w:rsid w:val="3CDF20AA"/>
    <w:rsid w:val="3CE04016"/>
    <w:rsid w:val="3D6F3B6C"/>
    <w:rsid w:val="3D6F7148"/>
    <w:rsid w:val="3D7D1865"/>
    <w:rsid w:val="3DB16DD8"/>
    <w:rsid w:val="3DB64D77"/>
    <w:rsid w:val="3DB754C8"/>
    <w:rsid w:val="3DBD249A"/>
    <w:rsid w:val="3E0E7D31"/>
    <w:rsid w:val="3E167975"/>
    <w:rsid w:val="3E3967FC"/>
    <w:rsid w:val="3E4203B8"/>
    <w:rsid w:val="3E554590"/>
    <w:rsid w:val="3E7C38CA"/>
    <w:rsid w:val="3E857011"/>
    <w:rsid w:val="3E8E22C6"/>
    <w:rsid w:val="3EAF3CA0"/>
    <w:rsid w:val="3EC52B4D"/>
    <w:rsid w:val="3ED12265"/>
    <w:rsid w:val="3EE10EC2"/>
    <w:rsid w:val="3F2A7F57"/>
    <w:rsid w:val="3F51536E"/>
    <w:rsid w:val="3F8C5D8F"/>
    <w:rsid w:val="3F8D39D6"/>
    <w:rsid w:val="3FB6105E"/>
    <w:rsid w:val="3FBD23EC"/>
    <w:rsid w:val="3FE06FE9"/>
    <w:rsid w:val="3FEA39D1"/>
    <w:rsid w:val="402F5236"/>
    <w:rsid w:val="4044666A"/>
    <w:rsid w:val="40596D74"/>
    <w:rsid w:val="40703903"/>
    <w:rsid w:val="4081019F"/>
    <w:rsid w:val="408931B2"/>
    <w:rsid w:val="409C653F"/>
    <w:rsid w:val="40A85D7C"/>
    <w:rsid w:val="40B758B2"/>
    <w:rsid w:val="40C14999"/>
    <w:rsid w:val="40DE6ABE"/>
    <w:rsid w:val="41160006"/>
    <w:rsid w:val="412B7679"/>
    <w:rsid w:val="414B6458"/>
    <w:rsid w:val="416A0352"/>
    <w:rsid w:val="417E5BAB"/>
    <w:rsid w:val="41847C9A"/>
    <w:rsid w:val="418F7DB9"/>
    <w:rsid w:val="41A12D6F"/>
    <w:rsid w:val="41CA317A"/>
    <w:rsid w:val="41FE597E"/>
    <w:rsid w:val="42116A20"/>
    <w:rsid w:val="42145E76"/>
    <w:rsid w:val="42202600"/>
    <w:rsid w:val="422624CB"/>
    <w:rsid w:val="426223B3"/>
    <w:rsid w:val="42644DA1"/>
    <w:rsid w:val="428E1E1E"/>
    <w:rsid w:val="42C6700E"/>
    <w:rsid w:val="431D7B20"/>
    <w:rsid w:val="432A5FEB"/>
    <w:rsid w:val="43402DD8"/>
    <w:rsid w:val="43D67F21"/>
    <w:rsid w:val="43EE5CE2"/>
    <w:rsid w:val="44116E55"/>
    <w:rsid w:val="44254A04"/>
    <w:rsid w:val="442C2DDB"/>
    <w:rsid w:val="44511355"/>
    <w:rsid w:val="445B4977"/>
    <w:rsid w:val="44BE5E0A"/>
    <w:rsid w:val="450D7972"/>
    <w:rsid w:val="452B624C"/>
    <w:rsid w:val="45703A5D"/>
    <w:rsid w:val="45996E75"/>
    <w:rsid w:val="45E9646F"/>
    <w:rsid w:val="46076CCA"/>
    <w:rsid w:val="461E31EE"/>
    <w:rsid w:val="46295A03"/>
    <w:rsid w:val="466730B2"/>
    <w:rsid w:val="467D4684"/>
    <w:rsid w:val="468F3AD1"/>
    <w:rsid w:val="46902609"/>
    <w:rsid w:val="4698326B"/>
    <w:rsid w:val="469B1701"/>
    <w:rsid w:val="46A614B6"/>
    <w:rsid w:val="46C027C2"/>
    <w:rsid w:val="46D70238"/>
    <w:rsid w:val="471054F8"/>
    <w:rsid w:val="471628CE"/>
    <w:rsid w:val="473E03F2"/>
    <w:rsid w:val="47413903"/>
    <w:rsid w:val="47751CE6"/>
    <w:rsid w:val="47C841F6"/>
    <w:rsid w:val="47DE73A4"/>
    <w:rsid w:val="47E14B18"/>
    <w:rsid w:val="47E210AB"/>
    <w:rsid w:val="47FD2D6A"/>
    <w:rsid w:val="48136821"/>
    <w:rsid w:val="48457423"/>
    <w:rsid w:val="48897310"/>
    <w:rsid w:val="48A250BA"/>
    <w:rsid w:val="48B12D0A"/>
    <w:rsid w:val="48E46C3C"/>
    <w:rsid w:val="48F77700"/>
    <w:rsid w:val="48FA020D"/>
    <w:rsid w:val="48FD385A"/>
    <w:rsid w:val="48FF5824"/>
    <w:rsid w:val="491A59E3"/>
    <w:rsid w:val="494D2A33"/>
    <w:rsid w:val="495A0CAC"/>
    <w:rsid w:val="496008C3"/>
    <w:rsid w:val="49831FB1"/>
    <w:rsid w:val="49870F95"/>
    <w:rsid w:val="498B5309"/>
    <w:rsid w:val="49AC05F5"/>
    <w:rsid w:val="49CA6730"/>
    <w:rsid w:val="49F66C27"/>
    <w:rsid w:val="4A0A0193"/>
    <w:rsid w:val="4A3239D7"/>
    <w:rsid w:val="4A39002E"/>
    <w:rsid w:val="4A7C7902"/>
    <w:rsid w:val="4B492A9E"/>
    <w:rsid w:val="4B4B73DD"/>
    <w:rsid w:val="4B5A6AA9"/>
    <w:rsid w:val="4B62516E"/>
    <w:rsid w:val="4B6E60E6"/>
    <w:rsid w:val="4B8B339F"/>
    <w:rsid w:val="4BD126F9"/>
    <w:rsid w:val="4BD961D0"/>
    <w:rsid w:val="4BF2220C"/>
    <w:rsid w:val="4BF4267B"/>
    <w:rsid w:val="4BF508B4"/>
    <w:rsid w:val="4BFC73B7"/>
    <w:rsid w:val="4C0A69B9"/>
    <w:rsid w:val="4C123AC0"/>
    <w:rsid w:val="4C16739E"/>
    <w:rsid w:val="4C224052"/>
    <w:rsid w:val="4C325F10"/>
    <w:rsid w:val="4C3727CC"/>
    <w:rsid w:val="4C5440D8"/>
    <w:rsid w:val="4C742085"/>
    <w:rsid w:val="4CAA5AA7"/>
    <w:rsid w:val="4CAF79D3"/>
    <w:rsid w:val="4CB050E1"/>
    <w:rsid w:val="4CB91309"/>
    <w:rsid w:val="4CF3744D"/>
    <w:rsid w:val="4D0D7ED3"/>
    <w:rsid w:val="4D1B2303"/>
    <w:rsid w:val="4D205603"/>
    <w:rsid w:val="4D311242"/>
    <w:rsid w:val="4D64659D"/>
    <w:rsid w:val="4D987BB9"/>
    <w:rsid w:val="4D9F20E5"/>
    <w:rsid w:val="4DA644C0"/>
    <w:rsid w:val="4DE03227"/>
    <w:rsid w:val="4DEE5E67"/>
    <w:rsid w:val="4E054C2F"/>
    <w:rsid w:val="4E172130"/>
    <w:rsid w:val="4E1D0B00"/>
    <w:rsid w:val="4E847480"/>
    <w:rsid w:val="4E9E5ADF"/>
    <w:rsid w:val="4EAC328B"/>
    <w:rsid w:val="4EAF1A9A"/>
    <w:rsid w:val="4EF51D77"/>
    <w:rsid w:val="4F3D2C02"/>
    <w:rsid w:val="4F8F778C"/>
    <w:rsid w:val="4F9B0FCB"/>
    <w:rsid w:val="4FAD5FDA"/>
    <w:rsid w:val="4FBD195C"/>
    <w:rsid w:val="4FD176D0"/>
    <w:rsid w:val="4FDB15B4"/>
    <w:rsid w:val="4FF754A7"/>
    <w:rsid w:val="4FFE6835"/>
    <w:rsid w:val="500B71A4"/>
    <w:rsid w:val="501E45F3"/>
    <w:rsid w:val="502913A4"/>
    <w:rsid w:val="505A5A36"/>
    <w:rsid w:val="508872D8"/>
    <w:rsid w:val="508C2093"/>
    <w:rsid w:val="50FC442C"/>
    <w:rsid w:val="51181B78"/>
    <w:rsid w:val="51464D47"/>
    <w:rsid w:val="51690A97"/>
    <w:rsid w:val="51762257"/>
    <w:rsid w:val="517C16D0"/>
    <w:rsid w:val="518C687F"/>
    <w:rsid w:val="51AD10CA"/>
    <w:rsid w:val="51E57A85"/>
    <w:rsid w:val="51E94DAF"/>
    <w:rsid w:val="51EB103B"/>
    <w:rsid w:val="52006139"/>
    <w:rsid w:val="5203382D"/>
    <w:rsid w:val="523B57E8"/>
    <w:rsid w:val="525C5A95"/>
    <w:rsid w:val="52BA1B2E"/>
    <w:rsid w:val="52D675F5"/>
    <w:rsid w:val="52D970B0"/>
    <w:rsid w:val="531243A6"/>
    <w:rsid w:val="53263761"/>
    <w:rsid w:val="532D1275"/>
    <w:rsid w:val="53312A7E"/>
    <w:rsid w:val="536746F1"/>
    <w:rsid w:val="53B90038"/>
    <w:rsid w:val="53D8114B"/>
    <w:rsid w:val="53EB35B5"/>
    <w:rsid w:val="54040192"/>
    <w:rsid w:val="540E72EB"/>
    <w:rsid w:val="5415651E"/>
    <w:rsid w:val="543A0CC9"/>
    <w:rsid w:val="54894371"/>
    <w:rsid w:val="54EC24E5"/>
    <w:rsid w:val="54FE4BE1"/>
    <w:rsid w:val="551C63E5"/>
    <w:rsid w:val="552E31B7"/>
    <w:rsid w:val="554B78CD"/>
    <w:rsid w:val="5551093D"/>
    <w:rsid w:val="55587577"/>
    <w:rsid w:val="55823A64"/>
    <w:rsid w:val="55837FA1"/>
    <w:rsid w:val="55B50C09"/>
    <w:rsid w:val="55C74519"/>
    <w:rsid w:val="55CE5FAF"/>
    <w:rsid w:val="55DF0EB7"/>
    <w:rsid w:val="55E95892"/>
    <w:rsid w:val="56130B60"/>
    <w:rsid w:val="563013D6"/>
    <w:rsid w:val="566929D0"/>
    <w:rsid w:val="56A63783"/>
    <w:rsid w:val="56AA542D"/>
    <w:rsid w:val="56AB7A29"/>
    <w:rsid w:val="56B23879"/>
    <w:rsid w:val="56C550B1"/>
    <w:rsid w:val="56CD6F61"/>
    <w:rsid w:val="56D27D41"/>
    <w:rsid w:val="56DE2F1C"/>
    <w:rsid w:val="56E36785"/>
    <w:rsid w:val="570B5487"/>
    <w:rsid w:val="5717642E"/>
    <w:rsid w:val="574F7976"/>
    <w:rsid w:val="57547D67"/>
    <w:rsid w:val="57AD28EF"/>
    <w:rsid w:val="57D60097"/>
    <w:rsid w:val="57F30789"/>
    <w:rsid w:val="583A0626"/>
    <w:rsid w:val="584B392F"/>
    <w:rsid w:val="58C036EC"/>
    <w:rsid w:val="58F554E5"/>
    <w:rsid w:val="596C2A61"/>
    <w:rsid w:val="597931D9"/>
    <w:rsid w:val="59AA5338"/>
    <w:rsid w:val="59B25C03"/>
    <w:rsid w:val="59BD150F"/>
    <w:rsid w:val="59C15707"/>
    <w:rsid w:val="5A1028F8"/>
    <w:rsid w:val="5A5B1DED"/>
    <w:rsid w:val="5A5E21B7"/>
    <w:rsid w:val="5A666F40"/>
    <w:rsid w:val="5A8C0E92"/>
    <w:rsid w:val="5AAC11F7"/>
    <w:rsid w:val="5AAE6BFF"/>
    <w:rsid w:val="5ADB7D2A"/>
    <w:rsid w:val="5AF42587"/>
    <w:rsid w:val="5B523ED9"/>
    <w:rsid w:val="5B894F0A"/>
    <w:rsid w:val="5B901D83"/>
    <w:rsid w:val="5BA858A7"/>
    <w:rsid w:val="5BB51980"/>
    <w:rsid w:val="5BC07095"/>
    <w:rsid w:val="5BDE240E"/>
    <w:rsid w:val="5BE2525D"/>
    <w:rsid w:val="5BFD0047"/>
    <w:rsid w:val="5BFF63FF"/>
    <w:rsid w:val="5C01084E"/>
    <w:rsid w:val="5C2238AB"/>
    <w:rsid w:val="5C5450F5"/>
    <w:rsid w:val="5C71038F"/>
    <w:rsid w:val="5C7C4A98"/>
    <w:rsid w:val="5C874799"/>
    <w:rsid w:val="5C8D123B"/>
    <w:rsid w:val="5CAB38A1"/>
    <w:rsid w:val="5CC50A23"/>
    <w:rsid w:val="5CF42F26"/>
    <w:rsid w:val="5D2B6790"/>
    <w:rsid w:val="5DA23243"/>
    <w:rsid w:val="5DA73AF8"/>
    <w:rsid w:val="5DC079C9"/>
    <w:rsid w:val="5DDC79F5"/>
    <w:rsid w:val="5DF23751"/>
    <w:rsid w:val="5DF66F13"/>
    <w:rsid w:val="5E227B93"/>
    <w:rsid w:val="5E361890"/>
    <w:rsid w:val="5E7E6E85"/>
    <w:rsid w:val="5E8048B9"/>
    <w:rsid w:val="5E993BCD"/>
    <w:rsid w:val="5E9C1702"/>
    <w:rsid w:val="5EB87A15"/>
    <w:rsid w:val="5ED03A93"/>
    <w:rsid w:val="5ED82947"/>
    <w:rsid w:val="5F2E07B9"/>
    <w:rsid w:val="5F3C4C84"/>
    <w:rsid w:val="5F6958C1"/>
    <w:rsid w:val="5F797C86"/>
    <w:rsid w:val="5F7B05F6"/>
    <w:rsid w:val="5FC2032E"/>
    <w:rsid w:val="5FC36214"/>
    <w:rsid w:val="5FCD3483"/>
    <w:rsid w:val="600B4656"/>
    <w:rsid w:val="60251BBC"/>
    <w:rsid w:val="604326ED"/>
    <w:rsid w:val="604C124A"/>
    <w:rsid w:val="60883EF9"/>
    <w:rsid w:val="6091780F"/>
    <w:rsid w:val="60BE4E23"/>
    <w:rsid w:val="60C65A72"/>
    <w:rsid w:val="60C72C73"/>
    <w:rsid w:val="60FF6429"/>
    <w:rsid w:val="610953C5"/>
    <w:rsid w:val="612174EC"/>
    <w:rsid w:val="61230285"/>
    <w:rsid w:val="612F6F8F"/>
    <w:rsid w:val="61433833"/>
    <w:rsid w:val="61444430"/>
    <w:rsid w:val="614E6EF1"/>
    <w:rsid w:val="61573FF7"/>
    <w:rsid w:val="615E2C9F"/>
    <w:rsid w:val="61774699"/>
    <w:rsid w:val="61B9080E"/>
    <w:rsid w:val="61D45648"/>
    <w:rsid w:val="61EA30D8"/>
    <w:rsid w:val="61F730E4"/>
    <w:rsid w:val="620153CA"/>
    <w:rsid w:val="621A10E7"/>
    <w:rsid w:val="62373E29"/>
    <w:rsid w:val="627E7362"/>
    <w:rsid w:val="62913539"/>
    <w:rsid w:val="62C90F25"/>
    <w:rsid w:val="62E0445B"/>
    <w:rsid w:val="62F80D8E"/>
    <w:rsid w:val="62FA57FB"/>
    <w:rsid w:val="63181564"/>
    <w:rsid w:val="63465A89"/>
    <w:rsid w:val="6364213D"/>
    <w:rsid w:val="636447A9"/>
    <w:rsid w:val="63750765"/>
    <w:rsid w:val="637F15E3"/>
    <w:rsid w:val="637F5A87"/>
    <w:rsid w:val="638B61DA"/>
    <w:rsid w:val="639332E1"/>
    <w:rsid w:val="639B4DD1"/>
    <w:rsid w:val="63D25BB7"/>
    <w:rsid w:val="63DE512B"/>
    <w:rsid w:val="641939D4"/>
    <w:rsid w:val="647E7AED"/>
    <w:rsid w:val="64AA7EBB"/>
    <w:rsid w:val="64B21C19"/>
    <w:rsid w:val="64C011E4"/>
    <w:rsid w:val="64DB0A9B"/>
    <w:rsid w:val="64F90BFF"/>
    <w:rsid w:val="64FE634B"/>
    <w:rsid w:val="650113FE"/>
    <w:rsid w:val="65214C94"/>
    <w:rsid w:val="65263C38"/>
    <w:rsid w:val="652E1513"/>
    <w:rsid w:val="65377536"/>
    <w:rsid w:val="656F4BCB"/>
    <w:rsid w:val="65736F26"/>
    <w:rsid w:val="65962C14"/>
    <w:rsid w:val="65DD16A8"/>
    <w:rsid w:val="65DD51A9"/>
    <w:rsid w:val="65EF22B9"/>
    <w:rsid w:val="65FD0B2E"/>
    <w:rsid w:val="6616004D"/>
    <w:rsid w:val="661679EF"/>
    <w:rsid w:val="6639016F"/>
    <w:rsid w:val="66415276"/>
    <w:rsid w:val="664D1C21"/>
    <w:rsid w:val="666351EC"/>
    <w:rsid w:val="666D606B"/>
    <w:rsid w:val="666E1009"/>
    <w:rsid w:val="66AF1008"/>
    <w:rsid w:val="66D460EA"/>
    <w:rsid w:val="66F76CD8"/>
    <w:rsid w:val="67317AA9"/>
    <w:rsid w:val="674566A0"/>
    <w:rsid w:val="674A1F08"/>
    <w:rsid w:val="677C0E1F"/>
    <w:rsid w:val="67990800"/>
    <w:rsid w:val="67C750D4"/>
    <w:rsid w:val="67D2208E"/>
    <w:rsid w:val="68071BA7"/>
    <w:rsid w:val="681311C1"/>
    <w:rsid w:val="681A5C7A"/>
    <w:rsid w:val="68271D2D"/>
    <w:rsid w:val="6864524C"/>
    <w:rsid w:val="687A681D"/>
    <w:rsid w:val="68812DA4"/>
    <w:rsid w:val="68880F3A"/>
    <w:rsid w:val="68896A60"/>
    <w:rsid w:val="68D1407C"/>
    <w:rsid w:val="68D93CAA"/>
    <w:rsid w:val="68E343C2"/>
    <w:rsid w:val="68ED3493"/>
    <w:rsid w:val="69194288"/>
    <w:rsid w:val="69207E48"/>
    <w:rsid w:val="6931724C"/>
    <w:rsid w:val="69605A13"/>
    <w:rsid w:val="697B27A8"/>
    <w:rsid w:val="69AE49D0"/>
    <w:rsid w:val="69DE1E3D"/>
    <w:rsid w:val="69E50AF3"/>
    <w:rsid w:val="6A556BF7"/>
    <w:rsid w:val="6AAC05F2"/>
    <w:rsid w:val="6ABC4ECB"/>
    <w:rsid w:val="6AE80E7F"/>
    <w:rsid w:val="6AF61974"/>
    <w:rsid w:val="6B570B4F"/>
    <w:rsid w:val="6B5C07C8"/>
    <w:rsid w:val="6BB32772"/>
    <w:rsid w:val="6BBB1626"/>
    <w:rsid w:val="6C2C60FD"/>
    <w:rsid w:val="6C5E2C1D"/>
    <w:rsid w:val="6C6815AE"/>
    <w:rsid w:val="6CA51E3D"/>
    <w:rsid w:val="6CD55BE9"/>
    <w:rsid w:val="6D0019E7"/>
    <w:rsid w:val="6D23480A"/>
    <w:rsid w:val="6D3451EC"/>
    <w:rsid w:val="6D447721"/>
    <w:rsid w:val="6D5F6CFB"/>
    <w:rsid w:val="6E0F17B6"/>
    <w:rsid w:val="6E3A008F"/>
    <w:rsid w:val="6E471370"/>
    <w:rsid w:val="6E4C0721"/>
    <w:rsid w:val="6E704002"/>
    <w:rsid w:val="6E75674C"/>
    <w:rsid w:val="6E7D0905"/>
    <w:rsid w:val="6E7E2EFE"/>
    <w:rsid w:val="6E82467D"/>
    <w:rsid w:val="6EB760D5"/>
    <w:rsid w:val="6EE60768"/>
    <w:rsid w:val="6F222A1D"/>
    <w:rsid w:val="6F4B6A1B"/>
    <w:rsid w:val="6F685A10"/>
    <w:rsid w:val="6F80296B"/>
    <w:rsid w:val="6F82134B"/>
    <w:rsid w:val="6F993367"/>
    <w:rsid w:val="6FA216FF"/>
    <w:rsid w:val="6FCC3E02"/>
    <w:rsid w:val="6FE253D4"/>
    <w:rsid w:val="700B7EFB"/>
    <w:rsid w:val="70466F16"/>
    <w:rsid w:val="70585696"/>
    <w:rsid w:val="706F1754"/>
    <w:rsid w:val="70B03AEA"/>
    <w:rsid w:val="70D0687D"/>
    <w:rsid w:val="70E92897"/>
    <w:rsid w:val="70F3716D"/>
    <w:rsid w:val="711535C9"/>
    <w:rsid w:val="7115424D"/>
    <w:rsid w:val="71573B9F"/>
    <w:rsid w:val="71586E1F"/>
    <w:rsid w:val="715D79E9"/>
    <w:rsid w:val="716B4D38"/>
    <w:rsid w:val="71715FC6"/>
    <w:rsid w:val="71763E02"/>
    <w:rsid w:val="717B5AE0"/>
    <w:rsid w:val="71816E6E"/>
    <w:rsid w:val="718317D2"/>
    <w:rsid w:val="7185070D"/>
    <w:rsid w:val="71D55CAE"/>
    <w:rsid w:val="71DE6EED"/>
    <w:rsid w:val="71E722EB"/>
    <w:rsid w:val="71F238C8"/>
    <w:rsid w:val="72766C0C"/>
    <w:rsid w:val="7298621E"/>
    <w:rsid w:val="72A050D2"/>
    <w:rsid w:val="72BA0B6E"/>
    <w:rsid w:val="72F86CBC"/>
    <w:rsid w:val="72FC167C"/>
    <w:rsid w:val="7306433C"/>
    <w:rsid w:val="730E028E"/>
    <w:rsid w:val="73441F01"/>
    <w:rsid w:val="73513BB3"/>
    <w:rsid w:val="73542104"/>
    <w:rsid w:val="737547B1"/>
    <w:rsid w:val="737A1DC7"/>
    <w:rsid w:val="737C5B3F"/>
    <w:rsid w:val="73A734EC"/>
    <w:rsid w:val="73B05D63"/>
    <w:rsid w:val="73C95D0E"/>
    <w:rsid w:val="73E55492"/>
    <w:rsid w:val="740D49E9"/>
    <w:rsid w:val="741600B2"/>
    <w:rsid w:val="745E666F"/>
    <w:rsid w:val="74652B53"/>
    <w:rsid w:val="747247FB"/>
    <w:rsid w:val="74B13C7A"/>
    <w:rsid w:val="74B326D5"/>
    <w:rsid w:val="74B66881"/>
    <w:rsid w:val="74C14861"/>
    <w:rsid w:val="74C93C49"/>
    <w:rsid w:val="74E6194D"/>
    <w:rsid w:val="74EB75B6"/>
    <w:rsid w:val="74EC4B8E"/>
    <w:rsid w:val="74F02341"/>
    <w:rsid w:val="750E70AC"/>
    <w:rsid w:val="751A75B3"/>
    <w:rsid w:val="75207E33"/>
    <w:rsid w:val="7530273D"/>
    <w:rsid w:val="7541494A"/>
    <w:rsid w:val="75491A51"/>
    <w:rsid w:val="75616D9B"/>
    <w:rsid w:val="75A405E1"/>
    <w:rsid w:val="75F82031"/>
    <w:rsid w:val="75FB28E7"/>
    <w:rsid w:val="762C5A1A"/>
    <w:rsid w:val="763322B7"/>
    <w:rsid w:val="7656483B"/>
    <w:rsid w:val="767825F7"/>
    <w:rsid w:val="76880357"/>
    <w:rsid w:val="769A01C1"/>
    <w:rsid w:val="76AC04E9"/>
    <w:rsid w:val="76C1103D"/>
    <w:rsid w:val="76C577FD"/>
    <w:rsid w:val="76E9529A"/>
    <w:rsid w:val="76FC0093"/>
    <w:rsid w:val="77017364"/>
    <w:rsid w:val="77223F57"/>
    <w:rsid w:val="772774BF"/>
    <w:rsid w:val="77664B3C"/>
    <w:rsid w:val="776C2200"/>
    <w:rsid w:val="776E4EDE"/>
    <w:rsid w:val="777234E1"/>
    <w:rsid w:val="779B7915"/>
    <w:rsid w:val="77AD62C7"/>
    <w:rsid w:val="77AF0FA9"/>
    <w:rsid w:val="77BA3CA3"/>
    <w:rsid w:val="77E441F4"/>
    <w:rsid w:val="77EB0F66"/>
    <w:rsid w:val="77EB5041"/>
    <w:rsid w:val="77F4117B"/>
    <w:rsid w:val="78067495"/>
    <w:rsid w:val="780E6EF1"/>
    <w:rsid w:val="781419F0"/>
    <w:rsid w:val="781438F7"/>
    <w:rsid w:val="783C46A1"/>
    <w:rsid w:val="787C7EC4"/>
    <w:rsid w:val="78AC47D1"/>
    <w:rsid w:val="78F67AD9"/>
    <w:rsid w:val="792A1B99"/>
    <w:rsid w:val="793C60F5"/>
    <w:rsid w:val="79517126"/>
    <w:rsid w:val="79C14B25"/>
    <w:rsid w:val="79E01647"/>
    <w:rsid w:val="7A2B2E79"/>
    <w:rsid w:val="7A2F6267"/>
    <w:rsid w:val="7A321E0F"/>
    <w:rsid w:val="7A3D4E2F"/>
    <w:rsid w:val="7A4A24F3"/>
    <w:rsid w:val="7A756E44"/>
    <w:rsid w:val="7A847DB3"/>
    <w:rsid w:val="7A911ED0"/>
    <w:rsid w:val="7AAF34C1"/>
    <w:rsid w:val="7AD033D5"/>
    <w:rsid w:val="7AD15DB2"/>
    <w:rsid w:val="7B09415C"/>
    <w:rsid w:val="7B1165E0"/>
    <w:rsid w:val="7B1845B1"/>
    <w:rsid w:val="7B1A2856"/>
    <w:rsid w:val="7B1B483F"/>
    <w:rsid w:val="7B3D6D02"/>
    <w:rsid w:val="7B643141"/>
    <w:rsid w:val="7B684125"/>
    <w:rsid w:val="7B7905ED"/>
    <w:rsid w:val="7B9A6B62"/>
    <w:rsid w:val="7BA307A7"/>
    <w:rsid w:val="7BBD6CF5"/>
    <w:rsid w:val="7BF306D0"/>
    <w:rsid w:val="7C013085"/>
    <w:rsid w:val="7C263DBF"/>
    <w:rsid w:val="7C3A20F4"/>
    <w:rsid w:val="7C725D31"/>
    <w:rsid w:val="7C8810B1"/>
    <w:rsid w:val="7CB41D52"/>
    <w:rsid w:val="7CCF0A8E"/>
    <w:rsid w:val="7CDB7CB6"/>
    <w:rsid w:val="7CE65DD7"/>
    <w:rsid w:val="7CEA3B1A"/>
    <w:rsid w:val="7D1C2A51"/>
    <w:rsid w:val="7D4E22FA"/>
    <w:rsid w:val="7D7653AD"/>
    <w:rsid w:val="7D877D86"/>
    <w:rsid w:val="7DB61C4E"/>
    <w:rsid w:val="7DBA032C"/>
    <w:rsid w:val="7DFB58B2"/>
    <w:rsid w:val="7E07198C"/>
    <w:rsid w:val="7E1B5633"/>
    <w:rsid w:val="7E1C763D"/>
    <w:rsid w:val="7E3C05B4"/>
    <w:rsid w:val="7E6416AA"/>
    <w:rsid w:val="7EEB0DF4"/>
    <w:rsid w:val="7F1003DD"/>
    <w:rsid w:val="7F4C3BFA"/>
    <w:rsid w:val="7F52179D"/>
    <w:rsid w:val="7F681055"/>
    <w:rsid w:val="7F69341C"/>
    <w:rsid w:val="7FAC4DF9"/>
    <w:rsid w:val="7FDB7F04"/>
    <w:rsid w:val="7FE42AA2"/>
    <w:rsid w:val="7FFD3B64"/>
    <w:rsid w:val="AF5B881B"/>
    <w:rsid w:val="F43EC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jc w:val="both"/>
      <w:textAlignment w:val="baseline"/>
    </w:pPr>
    <w:rPr>
      <w:rFonts w:ascii="Times New Roman" w:hAnsi="Times New Roman" w:eastAsia="楷体_GB2312" w:cs="Times New Roman"/>
      <w:kern w:val="2"/>
      <w:sz w:val="26"/>
      <w:lang w:val="en-US" w:eastAsia="zh-CN" w:bidi="ar-SA"/>
    </w:rPr>
  </w:style>
  <w:style w:type="paragraph" w:styleId="7">
    <w:name w:val="heading 1"/>
    <w:basedOn w:val="1"/>
    <w:next w:val="1"/>
    <w:qFormat/>
    <w:uiPriority w:val="0"/>
    <w:pPr>
      <w:keepNext/>
      <w:keepLines/>
      <w:numPr>
        <w:ilvl w:val="0"/>
        <w:numId w:val="1"/>
      </w:numPr>
      <w:spacing w:before="340" w:after="330" w:line="578" w:lineRule="auto"/>
      <w:outlineLvl w:val="0"/>
    </w:pPr>
    <w:rPr>
      <w:b/>
      <w:bCs/>
      <w:kern w:val="44"/>
      <w:sz w:val="44"/>
      <w:szCs w:val="44"/>
    </w:rPr>
  </w:style>
  <w:style w:type="paragraph" w:styleId="8">
    <w:name w:val="heading 2"/>
    <w:basedOn w:val="1"/>
    <w:next w:val="1"/>
    <w:qFormat/>
    <w:uiPriority w:val="0"/>
    <w:pPr>
      <w:keepNext/>
      <w:keepLines/>
      <w:numPr>
        <w:ilvl w:val="0"/>
        <w:numId w:val="2"/>
      </w:numPr>
      <w:spacing w:before="260" w:after="260" w:line="415" w:lineRule="auto"/>
      <w:outlineLvl w:val="1"/>
    </w:pPr>
    <w:rPr>
      <w:rFonts w:ascii="Arial" w:hAnsi="Arial" w:eastAsia="黑体"/>
      <w:b/>
      <w:bCs/>
      <w:sz w:val="32"/>
      <w:szCs w:val="32"/>
    </w:rPr>
  </w:style>
  <w:style w:type="paragraph" w:styleId="9">
    <w:name w:val="heading 3"/>
    <w:basedOn w:val="1"/>
    <w:next w:val="1"/>
    <w:unhideWhenUsed/>
    <w:qFormat/>
    <w:uiPriority w:val="0"/>
    <w:pPr>
      <w:keepNext/>
      <w:keepLines/>
      <w:spacing w:before="260" w:after="260" w:line="413" w:lineRule="auto"/>
      <w:outlineLvl w:val="2"/>
    </w:pPr>
    <w:rPr>
      <w:b/>
      <w:sz w:val="32"/>
    </w:rPr>
  </w:style>
  <w:style w:type="paragraph" w:styleId="10">
    <w:name w:val="heading 4"/>
    <w:basedOn w:val="1"/>
    <w:next w:val="1"/>
    <w:qFormat/>
    <w:uiPriority w:val="0"/>
    <w:pPr>
      <w:keepNext/>
      <w:keepLines/>
      <w:spacing w:before="280" w:after="290" w:line="372" w:lineRule="auto"/>
      <w:ind w:firstLine="200" w:firstLineChars="200"/>
      <w:outlineLvl w:val="3"/>
    </w:pPr>
    <w:rPr>
      <w:rFonts w:ascii="Arial" w:hAnsi="Arial" w:eastAsia="黑体"/>
      <w:b/>
      <w:kern w:val="0"/>
      <w:sz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qFormat/>
    <w:uiPriority w:val="99"/>
    <w:pPr>
      <w:spacing w:line="240" w:lineRule="auto"/>
      <w:ind w:firstLine="200" w:firstLineChars="200"/>
    </w:pPr>
  </w:style>
  <w:style w:type="paragraph" w:styleId="3">
    <w:name w:val="Body Text Indent"/>
    <w:basedOn w:val="1"/>
    <w:next w:val="4"/>
    <w:qFormat/>
    <w:uiPriority w:val="99"/>
    <w:pPr>
      <w:spacing w:after="120"/>
      <w:ind w:left="420" w:leftChars="200"/>
    </w:pPr>
    <w:rPr>
      <w:rFonts w:eastAsia="宋体"/>
      <w:sz w:val="21"/>
      <w:szCs w:val="24"/>
    </w:rPr>
  </w:style>
  <w:style w:type="paragraph" w:styleId="4">
    <w:name w:val="envelope return"/>
    <w:basedOn w:val="1"/>
    <w:qFormat/>
    <w:uiPriority w:val="99"/>
    <w:pPr>
      <w:snapToGrid w:val="0"/>
    </w:pPr>
    <w:rPr>
      <w:rFonts w:ascii="Arial" w:hAnsi="Arial"/>
    </w:rPr>
  </w:style>
  <w:style w:type="paragraph" w:styleId="5">
    <w:name w:val="Body Text Indent 3"/>
    <w:basedOn w:val="1"/>
    <w:next w:val="6"/>
    <w:qFormat/>
    <w:uiPriority w:val="0"/>
    <w:pPr>
      <w:spacing w:line="360" w:lineRule="auto"/>
      <w:ind w:left="840"/>
    </w:pPr>
    <w:rPr>
      <w:rFonts w:ascii="Times New Roman" w:hAnsi="Times New Roman" w:eastAsia="宋体"/>
      <w:sz w:val="16"/>
      <w:szCs w:val="16"/>
    </w:rPr>
  </w:style>
  <w:style w:type="paragraph" w:styleId="6">
    <w:name w:val="toa heading"/>
    <w:basedOn w:val="1"/>
    <w:next w:val="1"/>
    <w:qFormat/>
    <w:uiPriority w:val="0"/>
    <w:pPr>
      <w:adjustRightInd w:val="0"/>
      <w:spacing w:line="360" w:lineRule="atLeast"/>
      <w:jc w:val="center"/>
      <w:textAlignment w:val="baseline"/>
    </w:pPr>
    <w:rPr>
      <w:rFonts w:ascii="Arial" w:hAnsi="Arial" w:eastAsia="黑体"/>
      <w:sz w:val="36"/>
      <w:szCs w:val="20"/>
    </w:rPr>
  </w:style>
  <w:style w:type="paragraph" w:styleId="11">
    <w:name w:val="Normal Indent"/>
    <w:basedOn w:val="1"/>
    <w:qFormat/>
    <w:uiPriority w:val="0"/>
    <w:pPr>
      <w:ind w:firstLine="200" w:firstLineChars="200"/>
    </w:pPr>
  </w:style>
  <w:style w:type="paragraph" w:styleId="12">
    <w:name w:val="annotation text"/>
    <w:basedOn w:val="1"/>
    <w:qFormat/>
    <w:uiPriority w:val="0"/>
    <w:pPr>
      <w:jc w:val="left"/>
    </w:pPr>
  </w:style>
  <w:style w:type="paragraph" w:styleId="13">
    <w:name w:val="Body Text"/>
    <w:basedOn w:val="1"/>
    <w:next w:val="14"/>
    <w:qFormat/>
    <w:uiPriority w:val="0"/>
    <w:pPr>
      <w:spacing w:after="120"/>
    </w:pPr>
  </w:style>
  <w:style w:type="paragraph" w:customStyle="1" w:styleId="14">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styleId="15">
    <w:name w:val="index 4"/>
    <w:basedOn w:val="1"/>
    <w:next w:val="1"/>
    <w:unhideWhenUsed/>
    <w:qFormat/>
    <w:uiPriority w:val="99"/>
    <w:pPr>
      <w:ind w:left="600" w:leftChars="600"/>
    </w:pPr>
  </w:style>
  <w:style w:type="paragraph" w:styleId="16">
    <w:name w:val="Plain Text"/>
    <w:basedOn w:val="1"/>
    <w:next w:val="17"/>
    <w:qFormat/>
    <w:uiPriority w:val="0"/>
    <w:rPr>
      <w:rFonts w:ascii="宋体" w:hAnsi="Courier New"/>
    </w:rPr>
  </w:style>
  <w:style w:type="paragraph" w:styleId="17">
    <w:name w:val="List Number 5"/>
    <w:basedOn w:val="1"/>
    <w:qFormat/>
    <w:uiPriority w:val="0"/>
    <w:pPr>
      <w:numPr>
        <w:ilvl w:val="0"/>
        <w:numId w:val="3"/>
      </w:numPr>
    </w:pPr>
  </w:style>
  <w:style w:type="paragraph" w:styleId="18">
    <w:name w:val="Date"/>
    <w:basedOn w:val="1"/>
    <w:next w:val="1"/>
    <w:link w:val="71"/>
    <w:qFormat/>
    <w:uiPriority w:val="0"/>
    <w:rPr>
      <w:rFonts w:ascii="宋体" w:hAnsi="宋体"/>
      <w:sz w:val="24"/>
    </w:rPr>
  </w:style>
  <w:style w:type="paragraph" w:styleId="19">
    <w:name w:val="Body Text Indent 2"/>
    <w:basedOn w:val="1"/>
    <w:qFormat/>
    <w:uiPriority w:val="0"/>
    <w:pPr>
      <w:tabs>
        <w:tab w:val="left" w:pos="9741"/>
      </w:tabs>
      <w:ind w:right="-2" w:rightChars="-1" w:firstLine="540"/>
    </w:pPr>
    <w:rPr>
      <w:rFonts w:eastAsia="仿宋_GB2312"/>
      <w:sz w:val="28"/>
    </w:rPr>
  </w:style>
  <w:style w:type="paragraph" w:styleId="20">
    <w:name w:val="footer"/>
    <w:basedOn w:val="1"/>
    <w:qFormat/>
    <w:uiPriority w:val="0"/>
    <w:pPr>
      <w:tabs>
        <w:tab w:val="center" w:pos="4153"/>
        <w:tab w:val="right" w:pos="8306"/>
      </w:tabs>
      <w:snapToGrid w:val="0"/>
      <w:jc w:val="left"/>
    </w:pPr>
    <w:rPr>
      <w:sz w:val="18"/>
    </w:rPr>
  </w:style>
  <w:style w:type="paragraph" w:styleId="21">
    <w:name w:val="Signature"/>
    <w:basedOn w:val="1"/>
    <w:qFormat/>
    <w:uiPriority w:val="0"/>
    <w:pPr>
      <w:spacing w:after="600" w:line="312" w:lineRule="atLeast"/>
      <w:jc w:val="center"/>
    </w:pPr>
    <w:rPr>
      <w:rFonts w:eastAsia="仿宋_GB2312"/>
      <w:kern w:val="0"/>
      <w:sz w:val="24"/>
    </w:rPr>
  </w:style>
  <w:style w:type="paragraph" w:styleId="22">
    <w:name w:val="toc 1"/>
    <w:basedOn w:val="1"/>
    <w:next w:val="1"/>
    <w:qFormat/>
    <w:uiPriority w:val="0"/>
  </w:style>
  <w:style w:type="paragraph" w:styleId="23">
    <w:name w:val="Normal (Web)"/>
    <w:basedOn w:val="1"/>
    <w:qFormat/>
    <w:uiPriority w:val="99"/>
    <w:pPr>
      <w:spacing w:before="100" w:beforeAutospacing="1" w:after="100" w:afterAutospacing="1"/>
      <w:jc w:val="left"/>
    </w:pPr>
    <w:rPr>
      <w:kern w:val="0"/>
      <w:sz w:val="24"/>
    </w:rPr>
  </w:style>
  <w:style w:type="table" w:styleId="25">
    <w:name w:val="Table Grid"/>
    <w:basedOn w:val="24"/>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uiPriority w:val="0"/>
    <w:rPr>
      <w:b/>
    </w:rPr>
  </w:style>
  <w:style w:type="character" w:styleId="28">
    <w:name w:val="FollowedHyperlink"/>
    <w:qFormat/>
    <w:uiPriority w:val="0"/>
    <w:rPr>
      <w:color w:val="333333"/>
    </w:rPr>
  </w:style>
  <w:style w:type="character" w:styleId="29">
    <w:name w:val="Emphasis"/>
    <w:qFormat/>
    <w:uiPriority w:val="0"/>
    <w:rPr>
      <w:i/>
      <w:iCs/>
    </w:rPr>
  </w:style>
  <w:style w:type="character" w:styleId="30">
    <w:name w:val="Hyperlink"/>
    <w:basedOn w:val="26"/>
    <w:qFormat/>
    <w:uiPriority w:val="0"/>
    <w:rPr>
      <w:color w:val="333333"/>
    </w:rPr>
  </w:style>
  <w:style w:type="paragraph" w:customStyle="1" w:styleId="31">
    <w:name w:val="段"/>
    <w:next w:val="1"/>
    <w:qFormat/>
    <w:uiPriority w:val="0"/>
    <w:pPr>
      <w:autoSpaceDE w:val="0"/>
      <w:autoSpaceDN w:val="0"/>
      <w:ind w:firstLine="200"/>
      <w:jc w:val="both"/>
    </w:pPr>
    <w:rPr>
      <w:rFonts w:ascii="宋体" w:hAnsi="Calibri" w:eastAsia="仿宋_GB2312" w:cs="Times New Roman"/>
      <w:sz w:val="21"/>
      <w:szCs w:val="22"/>
      <w:lang w:val="en-US" w:eastAsia="zh-CN" w:bidi="ar-SA"/>
    </w:rPr>
  </w:style>
  <w:style w:type="paragraph" w:customStyle="1" w:styleId="32">
    <w:name w:val="ListBullet2"/>
    <w:basedOn w:val="1"/>
    <w:qFormat/>
    <w:uiPriority w:val="99"/>
    <w:pPr>
      <w:numPr>
        <w:ilvl w:val="0"/>
        <w:numId w:val="4"/>
      </w:numPr>
    </w:pPr>
  </w:style>
  <w:style w:type="paragraph" w:customStyle="1" w:styleId="33">
    <w:name w:val="NormalIndent"/>
    <w:basedOn w:val="1"/>
    <w:link w:val="45"/>
    <w:qFormat/>
    <w:uiPriority w:val="0"/>
    <w:pPr>
      <w:ind w:firstLine="420"/>
      <w:jc w:val="left"/>
    </w:pPr>
    <w:rPr>
      <w:sz w:val="24"/>
    </w:rPr>
  </w:style>
  <w:style w:type="paragraph" w:customStyle="1" w:styleId="34">
    <w:name w:val="Heading1"/>
    <w:basedOn w:val="1"/>
    <w:next w:val="1"/>
    <w:link w:val="46"/>
    <w:qFormat/>
    <w:uiPriority w:val="0"/>
    <w:pPr>
      <w:keepNext/>
      <w:keepLines/>
      <w:spacing w:before="340" w:after="330" w:line="578" w:lineRule="auto"/>
    </w:pPr>
    <w:rPr>
      <w:b/>
      <w:kern w:val="44"/>
      <w:sz w:val="44"/>
    </w:rPr>
  </w:style>
  <w:style w:type="paragraph" w:customStyle="1" w:styleId="35">
    <w:name w:val="Heading2"/>
    <w:basedOn w:val="1"/>
    <w:next w:val="1"/>
    <w:link w:val="47"/>
    <w:qFormat/>
    <w:uiPriority w:val="0"/>
    <w:pPr>
      <w:keepNext/>
      <w:keepLines/>
      <w:jc w:val="left"/>
    </w:pPr>
    <w:rPr>
      <w:rFonts w:ascii="宋体" w:hAnsi="宋体"/>
      <w:b/>
    </w:rPr>
  </w:style>
  <w:style w:type="paragraph" w:customStyle="1" w:styleId="36">
    <w:name w:val="Heading3"/>
    <w:basedOn w:val="1"/>
    <w:next w:val="1"/>
    <w:link w:val="48"/>
    <w:qFormat/>
    <w:uiPriority w:val="0"/>
    <w:pPr>
      <w:keepNext/>
      <w:keepLines/>
      <w:jc w:val="left"/>
    </w:pPr>
    <w:rPr>
      <w:b/>
    </w:rPr>
  </w:style>
  <w:style w:type="paragraph" w:customStyle="1" w:styleId="37">
    <w:name w:val="Heading4"/>
    <w:basedOn w:val="1"/>
    <w:next w:val="1"/>
    <w:link w:val="49"/>
    <w:qFormat/>
    <w:uiPriority w:val="0"/>
    <w:pPr>
      <w:keepNext/>
      <w:keepLines/>
      <w:spacing w:before="280" w:after="290" w:line="372" w:lineRule="auto"/>
      <w:ind w:firstLine="200" w:firstLineChars="200"/>
    </w:pPr>
    <w:rPr>
      <w:rFonts w:ascii="Arial" w:hAnsi="Arial" w:eastAsia="黑体"/>
      <w:b/>
      <w:kern w:val="0"/>
      <w:sz w:val="28"/>
    </w:rPr>
  </w:style>
  <w:style w:type="paragraph" w:customStyle="1" w:styleId="38">
    <w:name w:val="Heading5"/>
    <w:basedOn w:val="1"/>
    <w:next w:val="33"/>
    <w:qFormat/>
    <w:uiPriority w:val="0"/>
    <w:pPr>
      <w:keepNext/>
      <w:keepLines/>
      <w:tabs>
        <w:tab w:val="left" w:pos="1008"/>
      </w:tabs>
      <w:spacing w:before="280" w:after="290" w:line="376" w:lineRule="auto"/>
      <w:ind w:left="1008" w:hanging="1008"/>
    </w:pPr>
    <w:rPr>
      <w:rFonts w:ascii="宋体" w:eastAsia="宋体"/>
      <w:b/>
      <w:spacing w:val="-2"/>
      <w:position w:val="-6"/>
      <w:sz w:val="28"/>
    </w:rPr>
  </w:style>
  <w:style w:type="paragraph" w:customStyle="1" w:styleId="39">
    <w:name w:val="Heading6"/>
    <w:basedOn w:val="1"/>
    <w:next w:val="33"/>
    <w:qFormat/>
    <w:uiPriority w:val="0"/>
    <w:pPr>
      <w:keepNext/>
      <w:keepLines/>
      <w:tabs>
        <w:tab w:val="left" w:pos="1152"/>
      </w:tabs>
      <w:spacing w:before="240" w:after="64" w:line="320" w:lineRule="auto"/>
      <w:ind w:left="1152" w:hanging="1152"/>
    </w:pPr>
    <w:rPr>
      <w:rFonts w:ascii="Arial" w:hAnsi="Arial" w:eastAsia="黑体"/>
      <w:b/>
      <w:spacing w:val="-2"/>
      <w:position w:val="-6"/>
      <w:sz w:val="24"/>
    </w:rPr>
  </w:style>
  <w:style w:type="paragraph" w:customStyle="1" w:styleId="40">
    <w:name w:val="Heading7"/>
    <w:basedOn w:val="1"/>
    <w:next w:val="33"/>
    <w:qFormat/>
    <w:uiPriority w:val="0"/>
    <w:pPr>
      <w:keepNext/>
      <w:keepLines/>
      <w:tabs>
        <w:tab w:val="left" w:pos="1296"/>
      </w:tabs>
      <w:spacing w:before="240" w:after="64" w:line="320" w:lineRule="auto"/>
      <w:ind w:left="1296" w:hanging="1296"/>
    </w:pPr>
    <w:rPr>
      <w:rFonts w:ascii="宋体" w:eastAsia="宋体"/>
      <w:b/>
      <w:spacing w:val="-2"/>
      <w:position w:val="-6"/>
      <w:sz w:val="24"/>
    </w:rPr>
  </w:style>
  <w:style w:type="paragraph" w:customStyle="1" w:styleId="41">
    <w:name w:val="Heading8"/>
    <w:basedOn w:val="1"/>
    <w:next w:val="33"/>
    <w:qFormat/>
    <w:uiPriority w:val="0"/>
    <w:pPr>
      <w:keepNext/>
      <w:keepLines/>
      <w:tabs>
        <w:tab w:val="left" w:pos="1440"/>
      </w:tabs>
      <w:spacing w:before="240" w:after="64" w:line="320" w:lineRule="auto"/>
      <w:ind w:left="1440" w:hanging="1440"/>
    </w:pPr>
    <w:rPr>
      <w:rFonts w:ascii="Arial" w:hAnsi="Arial" w:eastAsia="黑体"/>
      <w:spacing w:val="-2"/>
      <w:position w:val="-6"/>
      <w:sz w:val="24"/>
    </w:rPr>
  </w:style>
  <w:style w:type="paragraph" w:customStyle="1" w:styleId="42">
    <w:name w:val="Heading9"/>
    <w:basedOn w:val="1"/>
    <w:next w:val="33"/>
    <w:qFormat/>
    <w:uiPriority w:val="0"/>
    <w:pPr>
      <w:keepNext/>
      <w:keepLines/>
      <w:tabs>
        <w:tab w:val="left" w:pos="1584"/>
      </w:tabs>
      <w:spacing w:before="240" w:after="64" w:line="320" w:lineRule="auto"/>
      <w:ind w:left="1584" w:hanging="1584"/>
    </w:pPr>
    <w:rPr>
      <w:rFonts w:ascii="Arial" w:hAnsi="Arial" w:eastAsia="黑体"/>
      <w:spacing w:val="-2"/>
      <w:position w:val="-6"/>
      <w:sz w:val="28"/>
    </w:rPr>
  </w:style>
  <w:style w:type="character" w:customStyle="1" w:styleId="43">
    <w:name w:val="NormalCharacter"/>
    <w:qFormat/>
    <w:uiPriority w:val="0"/>
  </w:style>
  <w:style w:type="table" w:customStyle="1" w:styleId="44">
    <w:name w:val="TableNormal"/>
    <w:qFormat/>
    <w:uiPriority w:val="0"/>
    <w:tblPr>
      <w:tblCellMar>
        <w:top w:w="0" w:type="dxa"/>
        <w:left w:w="0" w:type="dxa"/>
        <w:bottom w:w="0" w:type="dxa"/>
        <w:right w:w="0" w:type="dxa"/>
      </w:tblCellMar>
    </w:tblPr>
  </w:style>
  <w:style w:type="character" w:customStyle="1" w:styleId="45">
    <w:name w:val="UserStyle_0"/>
    <w:link w:val="33"/>
    <w:qFormat/>
    <w:uiPriority w:val="0"/>
    <w:rPr>
      <w:rFonts w:eastAsia="楷体_GB2312"/>
      <w:kern w:val="2"/>
      <w:sz w:val="24"/>
      <w:lang w:val="en-US" w:eastAsia="zh-CN" w:bidi="ar-SA"/>
    </w:rPr>
  </w:style>
  <w:style w:type="character" w:customStyle="1" w:styleId="46">
    <w:name w:val="UserStyle_1"/>
    <w:link w:val="34"/>
    <w:qFormat/>
    <w:uiPriority w:val="0"/>
    <w:rPr>
      <w:rFonts w:eastAsia="楷体_GB2312"/>
      <w:b/>
      <w:kern w:val="44"/>
      <w:sz w:val="44"/>
    </w:rPr>
  </w:style>
  <w:style w:type="character" w:customStyle="1" w:styleId="47">
    <w:name w:val="UserStyle_2"/>
    <w:link w:val="35"/>
    <w:qFormat/>
    <w:uiPriority w:val="0"/>
    <w:rPr>
      <w:rFonts w:ascii="宋体" w:hAnsi="宋体" w:eastAsia="楷体_GB2312"/>
      <w:b/>
      <w:kern w:val="2"/>
      <w:sz w:val="26"/>
      <w:lang w:val="en-US" w:eastAsia="zh-CN" w:bidi="ar-SA"/>
    </w:rPr>
  </w:style>
  <w:style w:type="character" w:customStyle="1" w:styleId="48">
    <w:name w:val="UserStyle_3"/>
    <w:link w:val="36"/>
    <w:qFormat/>
    <w:uiPriority w:val="0"/>
    <w:rPr>
      <w:rFonts w:eastAsia="楷体_GB2312"/>
      <w:b/>
      <w:kern w:val="2"/>
      <w:sz w:val="26"/>
    </w:rPr>
  </w:style>
  <w:style w:type="character" w:customStyle="1" w:styleId="49">
    <w:name w:val="UserStyle_4"/>
    <w:link w:val="37"/>
    <w:qFormat/>
    <w:uiPriority w:val="0"/>
    <w:rPr>
      <w:rFonts w:ascii="Arial" w:hAnsi="Arial" w:eastAsia="黑体"/>
      <w:b/>
      <w:sz w:val="28"/>
    </w:rPr>
  </w:style>
  <w:style w:type="paragraph" w:customStyle="1" w:styleId="50">
    <w:name w:val="TOC7"/>
    <w:basedOn w:val="1"/>
    <w:next w:val="1"/>
    <w:qFormat/>
    <w:uiPriority w:val="0"/>
    <w:pPr>
      <w:ind w:left="2520"/>
    </w:pPr>
  </w:style>
  <w:style w:type="paragraph" w:customStyle="1" w:styleId="51">
    <w:name w:val="Index8"/>
    <w:basedOn w:val="1"/>
    <w:next w:val="1"/>
    <w:qFormat/>
    <w:uiPriority w:val="0"/>
    <w:pPr>
      <w:ind w:left="2940"/>
    </w:pPr>
  </w:style>
  <w:style w:type="paragraph" w:customStyle="1" w:styleId="52">
    <w:name w:val="Index5"/>
    <w:basedOn w:val="1"/>
    <w:next w:val="1"/>
    <w:qFormat/>
    <w:uiPriority w:val="0"/>
    <w:pPr>
      <w:ind w:left="1680"/>
    </w:pPr>
  </w:style>
  <w:style w:type="paragraph" w:customStyle="1" w:styleId="53">
    <w:name w:val="NavPane"/>
    <w:basedOn w:val="1"/>
    <w:link w:val="54"/>
    <w:qFormat/>
    <w:uiPriority w:val="0"/>
    <w:pPr>
      <w:shd w:val="clear" w:color="auto" w:fill="000080"/>
    </w:pPr>
  </w:style>
  <w:style w:type="character" w:customStyle="1" w:styleId="54">
    <w:name w:val="UserStyle_5"/>
    <w:link w:val="53"/>
    <w:qFormat/>
    <w:uiPriority w:val="0"/>
    <w:rPr>
      <w:rFonts w:eastAsia="楷体_GB2312"/>
      <w:kern w:val="2"/>
      <w:sz w:val="26"/>
      <w:shd w:val="clear" w:color="auto" w:fill="000080"/>
    </w:rPr>
  </w:style>
  <w:style w:type="paragraph" w:customStyle="1" w:styleId="55">
    <w:name w:val="AnnotationText"/>
    <w:basedOn w:val="1"/>
    <w:link w:val="56"/>
    <w:qFormat/>
    <w:uiPriority w:val="0"/>
    <w:pPr>
      <w:jc w:val="left"/>
    </w:pPr>
  </w:style>
  <w:style w:type="character" w:customStyle="1" w:styleId="56">
    <w:name w:val="UserStyle_6"/>
    <w:link w:val="55"/>
    <w:qFormat/>
    <w:uiPriority w:val="0"/>
    <w:rPr>
      <w:rFonts w:eastAsia="楷体_GB2312"/>
      <w:kern w:val="2"/>
      <w:sz w:val="26"/>
    </w:rPr>
  </w:style>
  <w:style w:type="paragraph" w:customStyle="1" w:styleId="57">
    <w:name w:val="Index6"/>
    <w:basedOn w:val="1"/>
    <w:next w:val="1"/>
    <w:qFormat/>
    <w:uiPriority w:val="0"/>
    <w:pPr>
      <w:ind w:left="2100"/>
    </w:pPr>
  </w:style>
  <w:style w:type="paragraph" w:customStyle="1" w:styleId="58">
    <w:name w:val="BodyText"/>
    <w:basedOn w:val="1"/>
    <w:next w:val="59"/>
    <w:qFormat/>
    <w:uiPriority w:val="0"/>
    <w:pPr>
      <w:spacing w:line="400" w:lineRule="exact"/>
    </w:pPr>
    <w:rPr>
      <w:rFonts w:ascii="楷体_GB2312"/>
      <w:sz w:val="28"/>
    </w:rPr>
  </w:style>
  <w:style w:type="paragraph" w:customStyle="1" w:styleId="59">
    <w:name w:val="UserStyle_7"/>
    <w:qFormat/>
    <w:uiPriority w:val="0"/>
    <w:pPr>
      <w:spacing w:line="360" w:lineRule="auto"/>
      <w:textAlignment w:val="baseline"/>
    </w:pPr>
    <w:rPr>
      <w:rFonts w:ascii="仿宋" w:hAnsi="仿宋" w:eastAsia="宋体" w:cs="Times New Roman"/>
      <w:color w:val="000000"/>
      <w:sz w:val="24"/>
      <w:szCs w:val="24"/>
      <w:lang w:val="en-US" w:eastAsia="zh-CN" w:bidi="ar-SA"/>
    </w:rPr>
  </w:style>
  <w:style w:type="paragraph" w:customStyle="1" w:styleId="60">
    <w:name w:val="BodyTextIndent"/>
    <w:basedOn w:val="1"/>
    <w:next w:val="61"/>
    <w:link w:val="62"/>
    <w:qFormat/>
    <w:uiPriority w:val="0"/>
    <w:pPr>
      <w:spacing w:line="520" w:lineRule="exact"/>
      <w:ind w:left="570"/>
    </w:pPr>
    <w:rPr>
      <w:rFonts w:ascii="方正仿宋简体" w:hAnsi="创艺简仿宋" w:eastAsia="方正仿宋简体"/>
      <w:sz w:val="24"/>
    </w:rPr>
  </w:style>
  <w:style w:type="paragraph" w:customStyle="1" w:styleId="61">
    <w:name w:val="EnvelopeReturn"/>
    <w:basedOn w:val="1"/>
    <w:qFormat/>
    <w:uiPriority w:val="0"/>
    <w:pPr>
      <w:snapToGrid w:val="0"/>
    </w:pPr>
    <w:rPr>
      <w:rFonts w:ascii="Arial" w:hAnsi="Arial"/>
    </w:rPr>
  </w:style>
  <w:style w:type="character" w:customStyle="1" w:styleId="62">
    <w:name w:val="UserStyle_8"/>
    <w:link w:val="60"/>
    <w:qFormat/>
    <w:uiPriority w:val="0"/>
    <w:rPr>
      <w:rFonts w:ascii="楷体_GB2312" w:eastAsia="楷体_GB2312"/>
      <w:kern w:val="2"/>
      <w:sz w:val="26"/>
    </w:rPr>
  </w:style>
  <w:style w:type="paragraph" w:customStyle="1" w:styleId="63">
    <w:name w:val="Index4"/>
    <w:basedOn w:val="1"/>
    <w:next w:val="1"/>
    <w:qFormat/>
    <w:uiPriority w:val="0"/>
    <w:pPr>
      <w:ind w:left="1260"/>
    </w:pPr>
  </w:style>
  <w:style w:type="paragraph" w:customStyle="1" w:styleId="64">
    <w:name w:val="TOC5"/>
    <w:basedOn w:val="1"/>
    <w:next w:val="1"/>
    <w:qFormat/>
    <w:uiPriority w:val="0"/>
    <w:pPr>
      <w:ind w:left="1680"/>
    </w:pPr>
  </w:style>
  <w:style w:type="paragraph" w:customStyle="1" w:styleId="65">
    <w:name w:val="TOC3"/>
    <w:basedOn w:val="1"/>
    <w:next w:val="1"/>
    <w:link w:val="66"/>
    <w:qFormat/>
    <w:uiPriority w:val="0"/>
    <w:pPr>
      <w:ind w:left="840"/>
    </w:pPr>
  </w:style>
  <w:style w:type="character" w:customStyle="1" w:styleId="66">
    <w:name w:val="UserStyle_9"/>
    <w:link w:val="65"/>
    <w:qFormat/>
    <w:uiPriority w:val="0"/>
    <w:rPr>
      <w:rFonts w:eastAsia="楷体_GB2312"/>
      <w:kern w:val="2"/>
      <w:sz w:val="26"/>
    </w:rPr>
  </w:style>
  <w:style w:type="paragraph" w:customStyle="1" w:styleId="67">
    <w:name w:val="PlainText"/>
    <w:basedOn w:val="1"/>
    <w:link w:val="68"/>
    <w:qFormat/>
    <w:uiPriority w:val="0"/>
    <w:rPr>
      <w:rFonts w:ascii="宋体" w:hAnsi="Courier New"/>
    </w:rPr>
  </w:style>
  <w:style w:type="character" w:customStyle="1" w:styleId="68">
    <w:name w:val="UserStyle_10"/>
    <w:link w:val="67"/>
    <w:qFormat/>
    <w:uiPriority w:val="0"/>
    <w:rPr>
      <w:rFonts w:ascii="宋体" w:hAnsi="Courier New" w:eastAsia="楷体_GB2312"/>
      <w:kern w:val="2"/>
      <w:sz w:val="26"/>
      <w:lang w:val="en-US" w:eastAsia="zh-CN" w:bidi="ar-SA"/>
    </w:rPr>
  </w:style>
  <w:style w:type="paragraph" w:customStyle="1" w:styleId="69">
    <w:name w:val="TOC8"/>
    <w:basedOn w:val="1"/>
    <w:next w:val="1"/>
    <w:qFormat/>
    <w:uiPriority w:val="0"/>
    <w:pPr>
      <w:ind w:left="2940"/>
    </w:pPr>
  </w:style>
  <w:style w:type="paragraph" w:customStyle="1" w:styleId="70">
    <w:name w:val="Index3"/>
    <w:basedOn w:val="1"/>
    <w:next w:val="1"/>
    <w:qFormat/>
    <w:uiPriority w:val="0"/>
    <w:pPr>
      <w:ind w:left="840"/>
    </w:pPr>
  </w:style>
  <w:style w:type="character" w:customStyle="1" w:styleId="71">
    <w:name w:val="日期 字符"/>
    <w:link w:val="18"/>
    <w:qFormat/>
    <w:uiPriority w:val="0"/>
    <w:rPr>
      <w:rFonts w:ascii="宋体" w:hAnsi="宋体" w:eastAsia="楷体_GB2312"/>
      <w:kern w:val="2"/>
      <w:sz w:val="24"/>
    </w:rPr>
  </w:style>
  <w:style w:type="paragraph" w:customStyle="1" w:styleId="72">
    <w:name w:val="BodyTextIndent2"/>
    <w:basedOn w:val="1"/>
    <w:qFormat/>
    <w:uiPriority w:val="0"/>
    <w:pPr>
      <w:tabs>
        <w:tab w:val="left" w:pos="0"/>
      </w:tabs>
      <w:ind w:firstLine="502" w:firstLineChars="209"/>
    </w:pPr>
    <w:rPr>
      <w:rFonts w:ascii="宋体" w:eastAsia="宋体"/>
      <w:b/>
      <w:bCs/>
      <w:sz w:val="24"/>
    </w:rPr>
  </w:style>
  <w:style w:type="paragraph" w:customStyle="1" w:styleId="73">
    <w:name w:val="Acetate"/>
    <w:basedOn w:val="1"/>
    <w:link w:val="74"/>
    <w:qFormat/>
    <w:uiPriority w:val="0"/>
    <w:rPr>
      <w:sz w:val="18"/>
      <w:szCs w:val="18"/>
    </w:rPr>
  </w:style>
  <w:style w:type="character" w:customStyle="1" w:styleId="74">
    <w:name w:val="UserStyle_12"/>
    <w:link w:val="73"/>
    <w:qFormat/>
    <w:uiPriority w:val="0"/>
    <w:rPr>
      <w:rFonts w:eastAsia="楷体_GB2312"/>
      <w:kern w:val="2"/>
      <w:sz w:val="18"/>
      <w:szCs w:val="18"/>
    </w:rPr>
  </w:style>
  <w:style w:type="paragraph" w:customStyle="1" w:styleId="75">
    <w:name w:val="页脚1"/>
    <w:basedOn w:val="1"/>
    <w:link w:val="76"/>
    <w:qFormat/>
    <w:uiPriority w:val="0"/>
    <w:pPr>
      <w:tabs>
        <w:tab w:val="center" w:pos="4153"/>
        <w:tab w:val="right" w:pos="8306"/>
      </w:tabs>
      <w:snapToGrid w:val="0"/>
      <w:jc w:val="left"/>
    </w:pPr>
    <w:rPr>
      <w:sz w:val="18"/>
    </w:rPr>
  </w:style>
  <w:style w:type="character" w:customStyle="1" w:styleId="76">
    <w:name w:val="UserStyle_13"/>
    <w:link w:val="75"/>
    <w:qFormat/>
    <w:uiPriority w:val="0"/>
    <w:rPr>
      <w:rFonts w:eastAsia="楷体_GB2312"/>
      <w:kern w:val="2"/>
      <w:sz w:val="18"/>
    </w:rPr>
  </w:style>
  <w:style w:type="paragraph" w:customStyle="1" w:styleId="77">
    <w:name w:val="页眉1"/>
    <w:basedOn w:val="1"/>
    <w:link w:val="78"/>
    <w:qFormat/>
    <w:uiPriority w:val="0"/>
    <w:pPr>
      <w:pBdr>
        <w:bottom w:val="single" w:color="000000" w:sz="6" w:space="1"/>
      </w:pBdr>
      <w:tabs>
        <w:tab w:val="center" w:pos="4153"/>
        <w:tab w:val="right" w:pos="8306"/>
      </w:tabs>
      <w:snapToGrid w:val="0"/>
      <w:jc w:val="center"/>
    </w:pPr>
    <w:rPr>
      <w:sz w:val="18"/>
    </w:rPr>
  </w:style>
  <w:style w:type="character" w:customStyle="1" w:styleId="78">
    <w:name w:val="UserStyle_14"/>
    <w:link w:val="77"/>
    <w:qFormat/>
    <w:uiPriority w:val="0"/>
    <w:rPr>
      <w:rFonts w:eastAsia="楷体_GB2312"/>
      <w:kern w:val="2"/>
      <w:sz w:val="18"/>
    </w:rPr>
  </w:style>
  <w:style w:type="paragraph" w:customStyle="1" w:styleId="79">
    <w:name w:val="TOC1"/>
    <w:basedOn w:val="1"/>
    <w:next w:val="1"/>
    <w:qFormat/>
    <w:uiPriority w:val="0"/>
    <w:pPr>
      <w:jc w:val="left"/>
    </w:pPr>
    <w:rPr>
      <w:sz w:val="24"/>
    </w:rPr>
  </w:style>
  <w:style w:type="paragraph" w:customStyle="1" w:styleId="80">
    <w:name w:val="TOC4"/>
    <w:basedOn w:val="1"/>
    <w:next w:val="1"/>
    <w:qFormat/>
    <w:uiPriority w:val="0"/>
    <w:pPr>
      <w:ind w:left="1260"/>
    </w:pPr>
  </w:style>
  <w:style w:type="paragraph" w:customStyle="1" w:styleId="81">
    <w:name w:val="IndexHeading"/>
    <w:basedOn w:val="1"/>
    <w:next w:val="82"/>
    <w:qFormat/>
    <w:uiPriority w:val="0"/>
  </w:style>
  <w:style w:type="paragraph" w:customStyle="1" w:styleId="82">
    <w:name w:val="Index1"/>
    <w:basedOn w:val="1"/>
    <w:next w:val="1"/>
    <w:qFormat/>
    <w:uiPriority w:val="0"/>
  </w:style>
  <w:style w:type="paragraph" w:customStyle="1" w:styleId="83">
    <w:name w:val="FootnoteText"/>
    <w:basedOn w:val="1"/>
    <w:qFormat/>
    <w:uiPriority w:val="0"/>
    <w:pPr>
      <w:snapToGrid w:val="0"/>
      <w:jc w:val="left"/>
    </w:pPr>
    <w:rPr>
      <w:sz w:val="18"/>
    </w:rPr>
  </w:style>
  <w:style w:type="paragraph" w:customStyle="1" w:styleId="84">
    <w:name w:val="TOC6"/>
    <w:basedOn w:val="1"/>
    <w:next w:val="1"/>
    <w:qFormat/>
    <w:uiPriority w:val="0"/>
    <w:pPr>
      <w:ind w:left="2100"/>
    </w:pPr>
  </w:style>
  <w:style w:type="paragraph" w:customStyle="1" w:styleId="85">
    <w:name w:val="BodyTextIndent3"/>
    <w:basedOn w:val="1"/>
    <w:qFormat/>
    <w:uiPriority w:val="0"/>
    <w:pPr>
      <w:ind w:firstLine="617" w:firstLineChars="257"/>
    </w:pPr>
    <w:rPr>
      <w:rFonts w:eastAsia="宋体"/>
      <w:sz w:val="24"/>
      <w:szCs w:val="24"/>
    </w:rPr>
  </w:style>
  <w:style w:type="paragraph" w:customStyle="1" w:styleId="86">
    <w:name w:val="Index7"/>
    <w:basedOn w:val="1"/>
    <w:next w:val="1"/>
    <w:qFormat/>
    <w:uiPriority w:val="0"/>
    <w:pPr>
      <w:ind w:left="2520"/>
    </w:pPr>
  </w:style>
  <w:style w:type="paragraph" w:customStyle="1" w:styleId="87">
    <w:name w:val="Index9"/>
    <w:basedOn w:val="1"/>
    <w:next w:val="1"/>
    <w:qFormat/>
    <w:uiPriority w:val="0"/>
    <w:pPr>
      <w:ind w:left="3360"/>
    </w:pPr>
  </w:style>
  <w:style w:type="paragraph" w:customStyle="1" w:styleId="88">
    <w:name w:val="ToCaption"/>
    <w:basedOn w:val="1"/>
    <w:next w:val="1"/>
    <w:qFormat/>
    <w:uiPriority w:val="0"/>
    <w:pPr>
      <w:ind w:left="420" w:hanging="420"/>
      <w:jc w:val="left"/>
    </w:pPr>
    <w:rPr>
      <w:smallCaps/>
      <w:sz w:val="24"/>
    </w:rPr>
  </w:style>
  <w:style w:type="paragraph" w:customStyle="1" w:styleId="89">
    <w:name w:val="TOC2"/>
    <w:basedOn w:val="1"/>
    <w:next w:val="1"/>
    <w:qFormat/>
    <w:uiPriority w:val="0"/>
    <w:pPr>
      <w:ind w:left="420"/>
    </w:pPr>
  </w:style>
  <w:style w:type="paragraph" w:customStyle="1" w:styleId="90">
    <w:name w:val="TOC9"/>
    <w:basedOn w:val="1"/>
    <w:next w:val="1"/>
    <w:qFormat/>
    <w:uiPriority w:val="0"/>
    <w:pPr>
      <w:ind w:left="3360"/>
    </w:pPr>
  </w:style>
  <w:style w:type="paragraph" w:customStyle="1" w:styleId="91">
    <w:name w:val="HtmlPre"/>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rPr>
  </w:style>
  <w:style w:type="paragraph" w:customStyle="1" w:styleId="92">
    <w:name w:val="HtmlNormal"/>
    <w:basedOn w:val="1"/>
    <w:link w:val="93"/>
    <w:qFormat/>
    <w:uiPriority w:val="0"/>
    <w:rPr>
      <w:sz w:val="24"/>
      <w:szCs w:val="24"/>
    </w:rPr>
  </w:style>
  <w:style w:type="character" w:customStyle="1" w:styleId="93">
    <w:name w:val="UserStyle_15"/>
    <w:link w:val="92"/>
    <w:qFormat/>
    <w:uiPriority w:val="0"/>
    <w:rPr>
      <w:rFonts w:eastAsia="楷体_GB2312"/>
      <w:kern w:val="2"/>
      <w:sz w:val="24"/>
      <w:szCs w:val="24"/>
    </w:rPr>
  </w:style>
  <w:style w:type="paragraph" w:customStyle="1" w:styleId="94">
    <w:name w:val="Index2"/>
    <w:basedOn w:val="1"/>
    <w:next w:val="1"/>
    <w:qFormat/>
    <w:uiPriority w:val="0"/>
    <w:pPr>
      <w:ind w:left="420"/>
    </w:pPr>
  </w:style>
  <w:style w:type="paragraph" w:customStyle="1" w:styleId="95">
    <w:name w:val="AnnotationSubject"/>
    <w:basedOn w:val="55"/>
    <w:next w:val="55"/>
    <w:qFormat/>
    <w:uiPriority w:val="0"/>
    <w:rPr>
      <w:b/>
      <w:bCs/>
    </w:rPr>
  </w:style>
  <w:style w:type="paragraph" w:customStyle="1" w:styleId="96">
    <w:name w:val="BodyText1I2"/>
    <w:basedOn w:val="60"/>
    <w:link w:val="97"/>
    <w:qFormat/>
    <w:uiPriority w:val="0"/>
    <w:pPr>
      <w:ind w:firstLine="420" w:firstLineChars="200"/>
    </w:pPr>
  </w:style>
  <w:style w:type="character" w:customStyle="1" w:styleId="97">
    <w:name w:val="UserStyle_16"/>
    <w:link w:val="96"/>
    <w:qFormat/>
    <w:uiPriority w:val="0"/>
    <w:rPr>
      <w:rFonts w:ascii="楷体_GB2312" w:eastAsia="楷体_GB2312"/>
      <w:kern w:val="2"/>
      <w:sz w:val="26"/>
    </w:rPr>
  </w:style>
  <w:style w:type="table" w:customStyle="1" w:styleId="98">
    <w:name w:val="TableGrid"/>
    <w:basedOn w:val="44"/>
    <w:qFormat/>
    <w:uiPriority w:val="0"/>
  </w:style>
  <w:style w:type="character" w:customStyle="1" w:styleId="99">
    <w:name w:val="PageNumber"/>
    <w:qFormat/>
    <w:uiPriority w:val="0"/>
  </w:style>
  <w:style w:type="character" w:customStyle="1" w:styleId="100">
    <w:name w:val="LineNumber"/>
    <w:qFormat/>
    <w:uiPriority w:val="0"/>
  </w:style>
  <w:style w:type="character" w:customStyle="1" w:styleId="101">
    <w:name w:val="HtmlDfn"/>
    <w:qFormat/>
    <w:uiPriority w:val="0"/>
    <w:rPr>
      <w:i/>
    </w:rPr>
  </w:style>
  <w:style w:type="character" w:customStyle="1" w:styleId="102">
    <w:name w:val="HtmlCode"/>
    <w:qFormat/>
    <w:uiPriority w:val="0"/>
    <w:rPr>
      <w:rFonts w:ascii="Menlo" w:hAnsi="Menlo" w:eastAsia="Menlo"/>
      <w:color w:val="C7254E"/>
      <w:sz w:val="21"/>
      <w:szCs w:val="21"/>
      <w:shd w:val="clear" w:color="auto" w:fill="F9F2F4"/>
    </w:rPr>
  </w:style>
  <w:style w:type="character" w:customStyle="1" w:styleId="103">
    <w:name w:val="AnnotationReference"/>
    <w:qFormat/>
    <w:uiPriority w:val="0"/>
    <w:rPr>
      <w:sz w:val="21"/>
      <w:szCs w:val="21"/>
    </w:rPr>
  </w:style>
  <w:style w:type="character" w:customStyle="1" w:styleId="104">
    <w:name w:val="HtmlCite"/>
    <w:qFormat/>
    <w:uiPriority w:val="0"/>
  </w:style>
  <w:style w:type="character" w:customStyle="1" w:styleId="105">
    <w:name w:val="FootnoteReference"/>
    <w:qFormat/>
    <w:uiPriority w:val="0"/>
    <w:rPr>
      <w:vertAlign w:val="superscript"/>
    </w:rPr>
  </w:style>
  <w:style w:type="character" w:customStyle="1" w:styleId="106">
    <w:name w:val="HtmlKbd"/>
    <w:qFormat/>
    <w:uiPriority w:val="0"/>
    <w:rPr>
      <w:rFonts w:ascii="Menlo" w:hAnsi="Menlo" w:eastAsia="Menlo"/>
      <w:sz w:val="21"/>
      <w:szCs w:val="21"/>
    </w:rPr>
  </w:style>
  <w:style w:type="character" w:customStyle="1" w:styleId="107">
    <w:name w:val="htmlSamp"/>
    <w:qFormat/>
    <w:uiPriority w:val="0"/>
    <w:rPr>
      <w:rFonts w:ascii="Menlo" w:hAnsi="Menlo" w:eastAsia="Menlo"/>
      <w:sz w:val="21"/>
      <w:szCs w:val="21"/>
    </w:rPr>
  </w:style>
  <w:style w:type="paragraph" w:customStyle="1" w:styleId="108">
    <w:name w:val="UserStyle_17"/>
    <w:next w:val="1"/>
    <w:qFormat/>
    <w:uiPriority w:val="0"/>
    <w:pPr>
      <w:snapToGrid w:val="0"/>
      <w:spacing w:line="360" w:lineRule="auto"/>
      <w:ind w:firstLine="200" w:firstLineChars="200"/>
      <w:jc w:val="both"/>
      <w:textAlignment w:val="baseline"/>
    </w:pPr>
    <w:rPr>
      <w:rFonts w:ascii="宋体" w:hAnsi="Times New Roman" w:eastAsia="宋体" w:cs="Times New Roman"/>
      <w:sz w:val="24"/>
      <w:szCs w:val="22"/>
      <w:lang w:val="en-US" w:eastAsia="zh-CN" w:bidi="ar-SA"/>
    </w:rPr>
  </w:style>
  <w:style w:type="character" w:customStyle="1" w:styleId="109">
    <w:name w:val="UserStyle_18"/>
    <w:qFormat/>
    <w:uiPriority w:val="0"/>
    <w:rPr>
      <w:rFonts w:ascii="方正仿宋简体" w:hAnsi="创艺简仿宋" w:eastAsia="方正仿宋简体"/>
      <w:kern w:val="2"/>
      <w:sz w:val="24"/>
      <w:lang w:val="en-US" w:eastAsia="zh-CN" w:bidi="ar-SA"/>
    </w:rPr>
  </w:style>
  <w:style w:type="character" w:customStyle="1" w:styleId="110">
    <w:name w:val="UserStyle_19"/>
    <w:qFormat/>
    <w:uiPriority w:val="0"/>
    <w:rPr>
      <w:b/>
      <w:color w:val="FFFFFF"/>
      <w:sz w:val="19"/>
      <w:szCs w:val="19"/>
    </w:rPr>
  </w:style>
  <w:style w:type="character" w:customStyle="1" w:styleId="111">
    <w:name w:val="UserStyle_20"/>
    <w:qFormat/>
    <w:uiPriority w:val="0"/>
  </w:style>
  <w:style w:type="character" w:customStyle="1" w:styleId="112">
    <w:name w:val="UserStyle_21"/>
    <w:qFormat/>
    <w:uiPriority w:val="0"/>
    <w:rPr>
      <w:color w:val="FFFFFF"/>
      <w:shd w:val="clear" w:color="auto" w:fill="776666"/>
    </w:rPr>
  </w:style>
  <w:style w:type="character" w:customStyle="1" w:styleId="113">
    <w:name w:val="UserStyle_22"/>
    <w:qFormat/>
    <w:uiPriority w:val="0"/>
  </w:style>
  <w:style w:type="character" w:customStyle="1" w:styleId="114">
    <w:name w:val="UserStyle_23"/>
    <w:qFormat/>
    <w:uiPriority w:val="0"/>
    <w:rPr>
      <w:rFonts w:ascii="宋体" w:hAnsi="宋体" w:eastAsia="楷体_GB2312"/>
      <w:b/>
      <w:kern w:val="2"/>
      <w:sz w:val="26"/>
      <w:lang w:val="en-US" w:eastAsia="zh-CN" w:bidi="ar-SA"/>
    </w:rPr>
  </w:style>
  <w:style w:type="character" w:customStyle="1" w:styleId="115">
    <w:name w:val="UserStyle_24"/>
    <w:qFormat/>
    <w:uiPriority w:val="0"/>
    <w:rPr>
      <w:shd w:val="clear" w:color="auto" w:fill="FF0000"/>
    </w:rPr>
  </w:style>
  <w:style w:type="character" w:customStyle="1" w:styleId="116">
    <w:name w:val="UserStyle_25"/>
    <w:qFormat/>
    <w:uiPriority w:val="0"/>
    <w:rPr>
      <w:rFonts w:ascii="宋体" w:hAnsi="宋体" w:eastAsia="宋体"/>
      <w:color w:val="FF0000"/>
      <w:sz w:val="20"/>
      <w:szCs w:val="20"/>
    </w:rPr>
  </w:style>
  <w:style w:type="character" w:customStyle="1" w:styleId="117">
    <w:name w:val="UserStyle_26"/>
    <w:qFormat/>
    <w:uiPriority w:val="0"/>
  </w:style>
  <w:style w:type="character" w:customStyle="1" w:styleId="118">
    <w:name w:val="UserStyle_27"/>
    <w:qFormat/>
    <w:uiPriority w:val="0"/>
  </w:style>
  <w:style w:type="character" w:customStyle="1" w:styleId="119">
    <w:name w:val="UserStyle_28"/>
    <w:qFormat/>
    <w:uiPriority w:val="0"/>
    <w:rPr>
      <w:rFonts w:ascii="宋体" w:hAnsi="宋体" w:eastAsia="宋体"/>
    </w:rPr>
  </w:style>
  <w:style w:type="character" w:customStyle="1" w:styleId="120">
    <w:name w:val="UserStyle_29"/>
    <w:qFormat/>
    <w:uiPriority w:val="0"/>
    <w:rPr>
      <w:rFonts w:ascii="宋体" w:hAnsi="宋体" w:eastAsia="宋体"/>
    </w:rPr>
  </w:style>
  <w:style w:type="character" w:customStyle="1" w:styleId="121">
    <w:name w:val="UserStyle_30"/>
    <w:qFormat/>
    <w:uiPriority w:val="0"/>
  </w:style>
  <w:style w:type="character" w:customStyle="1" w:styleId="122">
    <w:name w:val="UserStyle_31"/>
    <w:qFormat/>
    <w:uiPriority w:val="0"/>
    <w:rPr>
      <w:color w:val="FFFFFF"/>
      <w:shd w:val="clear" w:color="auto" w:fill="776666"/>
    </w:rPr>
  </w:style>
  <w:style w:type="character" w:customStyle="1" w:styleId="123">
    <w:name w:val="UserStyle_32"/>
    <w:link w:val="124"/>
    <w:qFormat/>
    <w:uiPriority w:val="0"/>
    <w:rPr>
      <w:rFonts w:ascii="仿宋_GB2312" w:hAnsi="宋体" w:eastAsia="仿宋_GB2312"/>
      <w:kern w:val="2"/>
      <w:sz w:val="31"/>
      <w:szCs w:val="28"/>
    </w:rPr>
  </w:style>
  <w:style w:type="paragraph" w:customStyle="1" w:styleId="124">
    <w:name w:val="UserStyle_33"/>
    <w:basedOn w:val="1"/>
    <w:link w:val="123"/>
    <w:qFormat/>
    <w:uiPriority w:val="0"/>
    <w:pPr>
      <w:spacing w:line="600" w:lineRule="exact"/>
      <w:ind w:firstLine="639" w:firstLineChars="206"/>
    </w:pPr>
    <w:rPr>
      <w:rFonts w:ascii="仿宋_GB2312" w:hAnsi="宋体" w:eastAsia="仿宋_GB2312"/>
      <w:sz w:val="31"/>
      <w:szCs w:val="28"/>
    </w:rPr>
  </w:style>
  <w:style w:type="character" w:customStyle="1" w:styleId="125">
    <w:name w:val="UserStyle_34"/>
    <w:qFormat/>
    <w:uiPriority w:val="0"/>
  </w:style>
  <w:style w:type="character" w:customStyle="1" w:styleId="126">
    <w:name w:val="UserStyle_35"/>
    <w:qFormat/>
    <w:uiPriority w:val="0"/>
  </w:style>
  <w:style w:type="character" w:customStyle="1" w:styleId="127">
    <w:name w:val="UserStyle_36"/>
    <w:qFormat/>
    <w:uiPriority w:val="0"/>
    <w:rPr>
      <w:rFonts w:ascii="宋体" w:hAnsi="宋体" w:eastAsia="宋体"/>
      <w:b/>
      <w:color w:val="000000"/>
      <w:sz w:val="20"/>
      <w:szCs w:val="20"/>
    </w:rPr>
  </w:style>
  <w:style w:type="character" w:customStyle="1" w:styleId="128">
    <w:name w:val="UserStyle_37"/>
    <w:qFormat/>
    <w:uiPriority w:val="0"/>
    <w:rPr>
      <w:b/>
      <w:color w:val="FFFFFF"/>
      <w:sz w:val="21"/>
      <w:szCs w:val="21"/>
    </w:rPr>
  </w:style>
  <w:style w:type="character" w:customStyle="1" w:styleId="129">
    <w:name w:val="UserStyle_38"/>
    <w:qFormat/>
    <w:uiPriority w:val="0"/>
    <w:rPr>
      <w:color w:val="00FF00"/>
      <w:shd w:val="clear" w:color="auto" w:fill="000000"/>
    </w:rPr>
  </w:style>
  <w:style w:type="character" w:customStyle="1" w:styleId="130">
    <w:name w:val="UserStyle_39"/>
    <w:qFormat/>
    <w:uiPriority w:val="0"/>
    <w:rPr>
      <w:rFonts w:ascii="宋体" w:hAnsi="宋体" w:eastAsia="宋体"/>
      <w:color w:val="000000"/>
      <w:sz w:val="20"/>
      <w:szCs w:val="20"/>
    </w:rPr>
  </w:style>
  <w:style w:type="character" w:customStyle="1" w:styleId="131">
    <w:name w:val="UserStyle_40"/>
    <w:qFormat/>
    <w:uiPriority w:val="0"/>
  </w:style>
  <w:style w:type="character" w:customStyle="1" w:styleId="132">
    <w:name w:val="UserStyle_41"/>
    <w:qFormat/>
    <w:uiPriority w:val="0"/>
  </w:style>
  <w:style w:type="character" w:customStyle="1" w:styleId="133">
    <w:name w:val="UserStyle_42"/>
    <w:qFormat/>
    <w:uiPriority w:val="0"/>
    <w:rPr>
      <w:color w:val="00FF00"/>
      <w:shd w:val="clear" w:color="auto" w:fill="000000"/>
    </w:rPr>
  </w:style>
  <w:style w:type="paragraph" w:customStyle="1" w:styleId="134">
    <w:name w:val="UserStyle_43"/>
    <w:basedOn w:val="1"/>
    <w:qFormat/>
    <w:uiPriority w:val="0"/>
    <w:pPr>
      <w:ind w:firstLine="420" w:firstLineChars="200"/>
    </w:pPr>
    <w:rPr>
      <w:rFonts w:ascii="Calibri" w:hAnsi="Calibri" w:eastAsia="宋体"/>
      <w:szCs w:val="22"/>
    </w:rPr>
  </w:style>
  <w:style w:type="paragraph" w:customStyle="1" w:styleId="135">
    <w:name w:val="UserStyle_44"/>
    <w:basedOn w:val="1"/>
    <w:qFormat/>
    <w:uiPriority w:val="0"/>
    <w:rPr>
      <w:rFonts w:eastAsia="宋体"/>
      <w:kern w:val="0"/>
      <w:sz w:val="21"/>
      <w:szCs w:val="21"/>
    </w:rPr>
  </w:style>
  <w:style w:type="paragraph" w:customStyle="1" w:styleId="136">
    <w:name w:val="179"/>
    <w:basedOn w:val="1"/>
    <w:link w:val="137"/>
    <w:qFormat/>
    <w:uiPriority w:val="0"/>
    <w:pPr>
      <w:ind w:firstLine="420" w:firstLineChars="200"/>
    </w:pPr>
    <w:rPr>
      <w:rFonts w:eastAsia="宋体"/>
      <w:sz w:val="21"/>
      <w:szCs w:val="24"/>
    </w:rPr>
  </w:style>
  <w:style w:type="character" w:customStyle="1" w:styleId="137">
    <w:name w:val="UserStyle_45"/>
    <w:link w:val="136"/>
    <w:qFormat/>
    <w:uiPriority w:val="0"/>
    <w:rPr>
      <w:kern w:val="2"/>
      <w:sz w:val="21"/>
      <w:szCs w:val="24"/>
    </w:rPr>
  </w:style>
  <w:style w:type="paragraph" w:customStyle="1" w:styleId="138">
    <w:name w:val="UserStyle_46"/>
    <w:basedOn w:val="1"/>
    <w:qFormat/>
    <w:uiPriority w:val="0"/>
    <w:rPr>
      <w:rFonts w:ascii="宋体" w:hAnsi="Courier New"/>
      <w:sz w:val="28"/>
    </w:rPr>
  </w:style>
  <w:style w:type="paragraph" w:customStyle="1" w:styleId="139">
    <w:name w:val="UserStyle_47"/>
    <w:basedOn w:val="53"/>
    <w:qFormat/>
    <w:uiPriority w:val="0"/>
    <w:pPr>
      <w:snapToGrid w:val="0"/>
    </w:pPr>
    <w:rPr>
      <w:rFonts w:ascii="Tahoma" w:hAnsi="Tahoma" w:eastAsia="宋体"/>
      <w:sz w:val="24"/>
      <w:szCs w:val="24"/>
    </w:rPr>
  </w:style>
  <w:style w:type="paragraph" w:customStyle="1" w:styleId="140">
    <w:name w:val="UserStyle_48"/>
    <w:basedOn w:val="1"/>
    <w:qFormat/>
    <w:uiPriority w:val="0"/>
    <w:rPr>
      <w:rFonts w:ascii="Tahoma" w:hAnsi="Tahoma"/>
      <w:sz w:val="24"/>
    </w:rPr>
  </w:style>
  <w:style w:type="paragraph" w:customStyle="1" w:styleId="141">
    <w:name w:val="UserStyle_49"/>
    <w:basedOn w:val="1"/>
    <w:qFormat/>
    <w:uiPriority w:val="0"/>
    <w:pPr>
      <w:spacing w:after="160" w:line="240" w:lineRule="exact"/>
      <w:jc w:val="left"/>
    </w:pPr>
    <w:rPr>
      <w:rFonts w:ascii="Verdana" w:hAnsi="Verdana" w:eastAsia="宋体"/>
      <w:kern w:val="0"/>
      <w:sz w:val="21"/>
      <w:lang w:eastAsia="en-US"/>
    </w:rPr>
  </w:style>
  <w:style w:type="paragraph" w:customStyle="1" w:styleId="142">
    <w:name w:val="UserStyle_50"/>
    <w:basedOn w:val="1"/>
    <w:qFormat/>
    <w:uiPriority w:val="0"/>
    <w:rPr>
      <w:rFonts w:ascii="Tahoma" w:hAnsi="Tahoma" w:eastAsia="宋体"/>
      <w:sz w:val="24"/>
    </w:rPr>
  </w:style>
  <w:style w:type="paragraph" w:customStyle="1" w:styleId="143">
    <w:name w:val="UserStyle_51"/>
    <w:basedOn w:val="1"/>
    <w:qFormat/>
    <w:uiPriority w:val="0"/>
    <w:pPr>
      <w:keepNext/>
      <w:spacing w:before="60" w:after="60" w:line="300" w:lineRule="auto"/>
      <w:jc w:val="center"/>
      <w:textAlignment w:val="center"/>
    </w:pPr>
    <w:rPr>
      <w:rFonts w:eastAsia="宋体"/>
      <w:spacing w:val="20"/>
      <w:kern w:val="0"/>
      <w:sz w:val="24"/>
    </w:rPr>
  </w:style>
  <w:style w:type="paragraph" w:customStyle="1" w:styleId="144">
    <w:name w:val="UserStyle_52"/>
    <w:basedOn w:val="1"/>
    <w:qFormat/>
    <w:uiPriority w:val="0"/>
    <w:rPr>
      <w:rFonts w:ascii="宋体" w:hAnsi="Courier New"/>
    </w:rPr>
  </w:style>
  <w:style w:type="paragraph" w:customStyle="1" w:styleId="145">
    <w:name w:val="UserStyle_53"/>
    <w:basedOn w:val="1"/>
    <w:qFormat/>
    <w:uiPriority w:val="0"/>
    <w:rPr>
      <w:rFonts w:ascii="仿宋" w:hAnsi="仿宋" w:eastAsia="仿宋"/>
      <w:sz w:val="21"/>
      <w:szCs w:val="22"/>
      <w:lang w:val="zh-CN" w:bidi="zh-CN"/>
    </w:rPr>
  </w:style>
  <w:style w:type="character" w:customStyle="1" w:styleId="146">
    <w:name w:val="UserStyle_54"/>
    <w:qFormat/>
    <w:uiPriority w:val="0"/>
    <w:rPr>
      <w:rFonts w:ascii="宋体" w:hAnsi="宋体" w:eastAsia="宋体"/>
      <w:color w:val="000000"/>
      <w:sz w:val="20"/>
      <w:szCs w:val="20"/>
    </w:rPr>
  </w:style>
  <w:style w:type="character" w:customStyle="1" w:styleId="147">
    <w:name w:val="UserStyle_55"/>
    <w:qFormat/>
    <w:uiPriority w:val="0"/>
    <w:rPr>
      <w:rFonts w:ascii="宋体" w:hAnsi="宋体" w:eastAsia="宋体"/>
      <w:color w:val="000000"/>
      <w:sz w:val="28"/>
    </w:rPr>
  </w:style>
  <w:style w:type="character" w:customStyle="1" w:styleId="148">
    <w:name w:val="UserStyle_56"/>
    <w:qFormat/>
    <w:uiPriority w:val="0"/>
    <w:rPr>
      <w:rFonts w:ascii="宋体" w:hAnsi="宋体" w:eastAsia="宋体"/>
      <w:b/>
      <w:color w:val="000000"/>
      <w:sz w:val="18"/>
    </w:rPr>
  </w:style>
  <w:style w:type="character" w:customStyle="1" w:styleId="149">
    <w:name w:val="UserStyle_57"/>
    <w:qFormat/>
    <w:uiPriority w:val="0"/>
    <w:rPr>
      <w:rFonts w:ascii="宋体" w:hAnsi="宋体" w:eastAsia="宋体"/>
      <w:color w:val="000000"/>
      <w:sz w:val="20"/>
      <w:szCs w:val="20"/>
      <w:vertAlign w:val="superscript"/>
    </w:rPr>
  </w:style>
  <w:style w:type="character" w:customStyle="1" w:styleId="150">
    <w:name w:val="UserStyle_58"/>
    <w:qFormat/>
    <w:uiPriority w:val="0"/>
    <w:rPr>
      <w:rFonts w:eastAsia="楷体_GB2312"/>
      <w:kern w:val="2"/>
      <w:sz w:val="26"/>
    </w:rPr>
  </w:style>
  <w:style w:type="character" w:customStyle="1" w:styleId="151">
    <w:name w:val="UserStyle_59"/>
    <w:qFormat/>
    <w:uiPriority w:val="0"/>
    <w:rPr>
      <w:rFonts w:ascii="微软雅黑" w:hAnsi="微软雅黑" w:eastAsia="微软雅黑"/>
      <w:color w:val="000000"/>
      <w:sz w:val="20"/>
      <w:szCs w:val="20"/>
      <w:vertAlign w:val="superscript"/>
    </w:rPr>
  </w:style>
  <w:style w:type="character" w:customStyle="1" w:styleId="152">
    <w:name w:val="UserStyle_60"/>
    <w:qFormat/>
    <w:uiPriority w:val="0"/>
    <w:rPr>
      <w:rFonts w:eastAsia="楷体_GB2312"/>
      <w:kern w:val="2"/>
      <w:sz w:val="26"/>
      <w:szCs w:val="26"/>
    </w:rPr>
  </w:style>
  <w:style w:type="character" w:customStyle="1" w:styleId="153">
    <w:name w:val="UserStyle_61"/>
    <w:qFormat/>
    <w:uiPriority w:val="0"/>
    <w:rPr>
      <w:rFonts w:eastAsia="宋体"/>
      <w:kern w:val="2"/>
      <w:sz w:val="18"/>
      <w:lang w:val="en-US" w:eastAsia="zh-CN"/>
    </w:rPr>
  </w:style>
  <w:style w:type="character" w:customStyle="1" w:styleId="154">
    <w:name w:val="UserStyle_62"/>
    <w:qFormat/>
    <w:uiPriority w:val="0"/>
    <w:rPr>
      <w:rFonts w:ascii="宋体" w:hAnsi="宋体" w:eastAsia="宋体"/>
      <w:b/>
      <w:color w:val="000000"/>
      <w:sz w:val="20"/>
      <w:szCs w:val="20"/>
    </w:rPr>
  </w:style>
  <w:style w:type="character" w:customStyle="1" w:styleId="155">
    <w:name w:val="UserStyle_63"/>
    <w:qFormat/>
    <w:uiPriority w:val="0"/>
    <w:rPr>
      <w:rFonts w:ascii="宋体" w:hAnsi="宋体" w:eastAsia="宋体"/>
      <w:color w:val="000000"/>
      <w:sz w:val="20"/>
    </w:rPr>
  </w:style>
  <w:style w:type="character" w:customStyle="1" w:styleId="156">
    <w:name w:val="UserStyle_64"/>
    <w:qFormat/>
    <w:uiPriority w:val="0"/>
    <w:rPr>
      <w:rFonts w:ascii="方正仿宋简体" w:hAnsi="创艺简仿宋" w:eastAsia="方正仿宋简体"/>
      <w:kern w:val="2"/>
      <w:sz w:val="24"/>
    </w:rPr>
  </w:style>
  <w:style w:type="character" w:customStyle="1" w:styleId="157">
    <w:name w:val="UserStyle_65"/>
    <w:qFormat/>
    <w:uiPriority w:val="0"/>
    <w:rPr>
      <w:rFonts w:eastAsia="楷体_GB2312"/>
      <w:kern w:val="2"/>
      <w:sz w:val="18"/>
    </w:rPr>
  </w:style>
  <w:style w:type="character" w:customStyle="1" w:styleId="158">
    <w:name w:val="UserStyle_66"/>
    <w:qFormat/>
    <w:uiPriority w:val="0"/>
    <w:rPr>
      <w:kern w:val="2"/>
      <w:sz w:val="18"/>
    </w:rPr>
  </w:style>
  <w:style w:type="character" w:customStyle="1" w:styleId="159">
    <w:name w:val="UserStyle_67"/>
    <w:qFormat/>
    <w:uiPriority w:val="0"/>
    <w:rPr>
      <w:rFonts w:eastAsia="楷体_GB2312"/>
      <w:kern w:val="2"/>
      <w:sz w:val="26"/>
      <w:szCs w:val="26"/>
    </w:rPr>
  </w:style>
  <w:style w:type="paragraph" w:customStyle="1" w:styleId="160">
    <w:name w:val="UserStyle_68"/>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61">
    <w:name w:val="UserStyle_69"/>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62">
    <w:name w:val="UserStyle_7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63">
    <w:name w:val="UserStyle_71"/>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64">
    <w:name w:val="UserStyle_7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olor w:val="000000"/>
      <w:kern w:val="0"/>
      <w:sz w:val="20"/>
    </w:rPr>
  </w:style>
  <w:style w:type="paragraph" w:customStyle="1" w:styleId="165">
    <w:name w:val="UserStyle_73"/>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66">
    <w:name w:val="UserStyle_74"/>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Courier New" w:hAnsi="Courier New" w:eastAsia="宋体"/>
      <w:color w:val="000000"/>
      <w:kern w:val="0"/>
      <w:sz w:val="20"/>
    </w:rPr>
  </w:style>
  <w:style w:type="paragraph" w:customStyle="1" w:styleId="167">
    <w:name w:val="UserStyle_7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s="Courier New"/>
      <w:b/>
      <w:bCs/>
      <w:kern w:val="0"/>
      <w:sz w:val="20"/>
    </w:rPr>
  </w:style>
  <w:style w:type="paragraph" w:customStyle="1" w:styleId="168">
    <w:name w:val="UserStyle_76"/>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69">
    <w:name w:val="UserStyle_77"/>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70">
    <w:name w:val="UserStyle_78"/>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171">
    <w:name w:val="UserStyle_79"/>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172">
    <w:name w:val="UserStyle_8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73">
    <w:name w:val="UserStyle_8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174">
    <w:name w:val="UserStyle_82"/>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75">
    <w:name w:val="UserStyle_83"/>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176">
    <w:name w:val="UserStyle_8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77">
    <w:name w:val="UserStyle_8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78">
    <w:name w:val="UserStyle_86"/>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79">
    <w:name w:val="UserStyle_8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80">
    <w:name w:val="UserStyle_88"/>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181">
    <w:name w:val="UserStyle_89"/>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182">
    <w:name w:val="UserStyle_9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83">
    <w:name w:val="UserStyle_9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84">
    <w:name w:val="UserStyle_9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s="Courier New"/>
      <w:b/>
      <w:bCs/>
      <w:kern w:val="0"/>
      <w:sz w:val="20"/>
    </w:rPr>
  </w:style>
  <w:style w:type="paragraph" w:customStyle="1" w:styleId="185">
    <w:name w:val="UserStyle_93"/>
    <w:basedOn w:val="1"/>
    <w:qFormat/>
    <w:uiPriority w:val="0"/>
    <w:pPr>
      <w:ind w:firstLine="420" w:firstLineChars="200"/>
    </w:pPr>
    <w:rPr>
      <w:rFonts w:ascii="Calibri" w:hAnsi="Calibri" w:eastAsia="宋体"/>
      <w:szCs w:val="26"/>
    </w:rPr>
  </w:style>
  <w:style w:type="paragraph" w:customStyle="1" w:styleId="186">
    <w:name w:val="UserStyle_94"/>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87">
    <w:name w:val="UserStyle_9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88">
    <w:name w:val="UserStyle_96"/>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cs="宋体"/>
      <w:b/>
      <w:bCs/>
      <w:kern w:val="0"/>
      <w:sz w:val="20"/>
    </w:rPr>
  </w:style>
  <w:style w:type="paragraph" w:customStyle="1" w:styleId="189">
    <w:name w:val="UserStyle_9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cs="Courier New"/>
      <w:b/>
      <w:bCs/>
      <w:kern w:val="0"/>
      <w:sz w:val="20"/>
    </w:rPr>
  </w:style>
  <w:style w:type="paragraph" w:customStyle="1" w:styleId="190">
    <w:name w:val="UserStyle_98"/>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191">
    <w:name w:val="UserStyle_99"/>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192">
    <w:name w:val="UserStyle_10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color w:val="000000"/>
      <w:kern w:val="0"/>
      <w:sz w:val="20"/>
    </w:rPr>
  </w:style>
  <w:style w:type="paragraph" w:customStyle="1" w:styleId="193">
    <w:name w:val="UserStyle_10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color w:val="000000"/>
      <w:kern w:val="0"/>
      <w:sz w:val="20"/>
    </w:rPr>
  </w:style>
  <w:style w:type="paragraph" w:customStyle="1" w:styleId="194">
    <w:name w:val="UserStyle_102"/>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195">
    <w:name w:val="UserStyle_103"/>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96">
    <w:name w:val="UserStyle_10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97">
    <w:name w:val="UserStyle_10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color w:val="000000"/>
      <w:kern w:val="0"/>
      <w:sz w:val="20"/>
    </w:rPr>
  </w:style>
  <w:style w:type="paragraph" w:customStyle="1" w:styleId="198">
    <w:name w:val="UserStyle_106"/>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99">
    <w:name w:val="UserStyle_107"/>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00">
    <w:name w:val="UserStyle_108"/>
    <w:qFormat/>
    <w:uiPriority w:val="0"/>
    <w:pPr>
      <w:spacing w:before="120" w:after="240" w:line="360" w:lineRule="auto"/>
      <w:jc w:val="both"/>
      <w:textAlignment w:val="baseline"/>
    </w:pPr>
    <w:rPr>
      <w:rFonts w:ascii="Times New Roman" w:hAnsi="Times New Roman" w:eastAsia="Calibri" w:cs="Times New Roman"/>
      <w:sz w:val="22"/>
      <w:szCs w:val="22"/>
      <w:lang w:val="ru-RU" w:eastAsia="en-US" w:bidi="ar-SA"/>
    </w:rPr>
  </w:style>
  <w:style w:type="paragraph" w:customStyle="1" w:styleId="201">
    <w:name w:val="UserStyle_109"/>
    <w:basedOn w:val="1"/>
    <w:qFormat/>
    <w:uiPriority w:val="0"/>
    <w:pPr>
      <w:ind w:firstLine="420" w:firstLineChars="200"/>
    </w:pPr>
    <w:rPr>
      <w:rFonts w:eastAsia="宋体"/>
      <w:szCs w:val="26"/>
    </w:rPr>
  </w:style>
  <w:style w:type="paragraph" w:customStyle="1" w:styleId="202">
    <w:name w:val="UserStyle_11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203">
    <w:name w:val="UserStyle_111"/>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04">
    <w:name w:val="UserStyle_11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s="Courier New"/>
      <w:b/>
      <w:bCs/>
      <w:color w:val="000000"/>
      <w:kern w:val="0"/>
      <w:sz w:val="20"/>
    </w:rPr>
  </w:style>
  <w:style w:type="paragraph" w:customStyle="1" w:styleId="205">
    <w:name w:val="UserStyle_113"/>
    <w:basedOn w:val="1"/>
    <w:qFormat/>
    <w:uiPriority w:val="0"/>
    <w:pPr>
      <w:spacing w:before="100" w:beforeAutospacing="1" w:after="100" w:afterAutospacing="1"/>
      <w:jc w:val="center"/>
    </w:pPr>
    <w:rPr>
      <w:rFonts w:ascii="Courier New" w:hAnsi="Courier New" w:eastAsia="宋体"/>
      <w:color w:val="000000"/>
      <w:kern w:val="0"/>
      <w:sz w:val="20"/>
    </w:rPr>
  </w:style>
  <w:style w:type="paragraph" w:customStyle="1" w:styleId="206">
    <w:name w:val="UserStyle_114"/>
    <w:next w:val="1"/>
    <w:qFormat/>
    <w:uiPriority w:val="0"/>
    <w:pPr>
      <w:spacing w:line="360" w:lineRule="auto"/>
      <w:jc w:val="both"/>
      <w:textAlignment w:val="baseline"/>
    </w:pPr>
    <w:rPr>
      <w:rFonts w:ascii="Times New Roman" w:hAnsi="Times New Roman" w:eastAsia="楷体_GB2312" w:cs="Times New Roman"/>
      <w:kern w:val="2"/>
      <w:sz w:val="26"/>
      <w:szCs w:val="26"/>
      <w:lang w:val="en-US" w:eastAsia="zh-CN" w:bidi="ar-SA"/>
    </w:rPr>
  </w:style>
  <w:style w:type="paragraph" w:customStyle="1" w:styleId="207">
    <w:name w:val="UserStyle_115"/>
    <w:basedOn w:val="34"/>
    <w:next w:val="1"/>
    <w:qFormat/>
    <w:uiPriority w:val="0"/>
    <w:pPr>
      <w:spacing w:line="240" w:lineRule="auto"/>
      <w:jc w:val="center"/>
    </w:pPr>
    <w:rPr>
      <w:rFonts w:ascii="仿宋_GB2312" w:hAnsi="宋体" w:eastAsia="仿宋_GB2312" w:cs="宋体"/>
      <w:bCs/>
      <w:szCs w:val="44"/>
    </w:rPr>
  </w:style>
  <w:style w:type="paragraph" w:customStyle="1" w:styleId="208">
    <w:name w:val="UserStyle_116"/>
    <w:qFormat/>
    <w:uiPriority w:val="0"/>
    <w:pPr>
      <w:spacing w:line="240" w:lineRule="atLeast"/>
      <w:ind w:firstLine="200" w:firstLineChars="200"/>
      <w:jc w:val="both"/>
      <w:textAlignment w:val="baseline"/>
    </w:pPr>
    <w:rPr>
      <w:rFonts w:ascii="Times New Roman" w:hAnsi="Times New Roman" w:eastAsia="宋体" w:cs="Times New Roman"/>
      <w:kern w:val="2"/>
      <w:sz w:val="21"/>
      <w:szCs w:val="21"/>
      <w:lang w:val="en-US" w:eastAsia="zh-CN" w:bidi="ar-SA"/>
    </w:rPr>
  </w:style>
  <w:style w:type="paragraph" w:customStyle="1" w:styleId="209">
    <w:name w:val="UserStyle_117"/>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10">
    <w:name w:val="UserStyle_118"/>
    <w:basedOn w:val="1"/>
    <w:qFormat/>
    <w:uiPriority w:val="0"/>
    <w:pPr>
      <w:spacing w:before="100" w:beforeAutospacing="1" w:after="100" w:afterAutospacing="1"/>
      <w:jc w:val="left"/>
    </w:pPr>
    <w:rPr>
      <w:rFonts w:ascii="Courier New" w:hAnsi="Courier New" w:eastAsia="宋体"/>
      <w:color w:val="000000"/>
      <w:kern w:val="0"/>
      <w:sz w:val="20"/>
    </w:rPr>
  </w:style>
  <w:style w:type="paragraph" w:customStyle="1" w:styleId="211">
    <w:name w:val="UserStyle_119"/>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12">
    <w:name w:val="UserStyle_12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olor w:val="000000"/>
      <w:kern w:val="0"/>
      <w:sz w:val="20"/>
    </w:rPr>
  </w:style>
  <w:style w:type="paragraph" w:customStyle="1" w:styleId="213">
    <w:name w:val="UserStyle_12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14">
    <w:name w:val="UserStyle_122"/>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textAlignment w:val="top"/>
    </w:pPr>
    <w:rPr>
      <w:rFonts w:ascii="仿宋" w:hAnsi="仿宋" w:eastAsia="仿宋"/>
      <w:kern w:val="0"/>
      <w:sz w:val="20"/>
    </w:rPr>
  </w:style>
  <w:style w:type="paragraph" w:customStyle="1" w:styleId="215">
    <w:name w:val="UserStyle_123"/>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16">
    <w:name w:val="UserStyle_12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217">
    <w:name w:val="UserStyle_125"/>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18">
    <w:name w:val="UserStyle_126"/>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19">
    <w:name w:val="UserStyle_12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220">
    <w:name w:val="UserStyle_128"/>
    <w:basedOn w:val="1"/>
    <w:qFormat/>
    <w:uiPriority w:val="0"/>
    <w:pPr>
      <w:spacing w:before="100" w:beforeAutospacing="1" w:after="100" w:afterAutospacing="1"/>
      <w:jc w:val="left"/>
    </w:pPr>
    <w:rPr>
      <w:rFonts w:ascii="Courier New" w:hAnsi="Courier New" w:eastAsia="宋体"/>
      <w:color w:val="000000"/>
      <w:kern w:val="0"/>
      <w:sz w:val="20"/>
    </w:rPr>
  </w:style>
  <w:style w:type="paragraph" w:customStyle="1" w:styleId="221">
    <w:name w:val="UserStyle_129"/>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222">
    <w:name w:val="UserStyle_130"/>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23">
    <w:name w:val="UserStyle_13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224">
    <w:name w:val="UserStyle_132"/>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25">
    <w:name w:val="UserStyle_133"/>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26">
    <w:name w:val="UserStyle_134"/>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cs="宋体"/>
      <w:b/>
      <w:bCs/>
      <w:kern w:val="0"/>
      <w:sz w:val="20"/>
    </w:rPr>
  </w:style>
  <w:style w:type="paragraph" w:customStyle="1" w:styleId="227">
    <w:name w:val="UserStyle_135"/>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28">
    <w:name w:val="UserStyle_136"/>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29">
    <w:name w:val="UserStyle_137"/>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30">
    <w:name w:val="UserStyle_138"/>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Courier New" w:hAnsi="Courier New" w:eastAsia="宋体" w:cs="Courier New"/>
      <w:b/>
      <w:bCs/>
      <w:kern w:val="0"/>
      <w:sz w:val="20"/>
    </w:rPr>
  </w:style>
  <w:style w:type="paragraph" w:customStyle="1" w:styleId="231">
    <w:name w:val="UserStyle_139"/>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32">
    <w:name w:val="UserStyle_140"/>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33">
    <w:name w:val="UserStyle_14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34">
    <w:name w:val="UserStyle_142"/>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color w:val="000000"/>
      <w:kern w:val="0"/>
      <w:sz w:val="20"/>
    </w:rPr>
  </w:style>
  <w:style w:type="paragraph" w:customStyle="1" w:styleId="235">
    <w:name w:val="UserStyle_143"/>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236">
    <w:name w:val="UserStyle_14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color w:val="000000"/>
      <w:kern w:val="0"/>
      <w:sz w:val="20"/>
    </w:rPr>
  </w:style>
  <w:style w:type="paragraph" w:customStyle="1" w:styleId="237">
    <w:name w:val="UserStyle_145"/>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Courier New" w:hAnsi="Courier New" w:eastAsia="宋体"/>
      <w:kern w:val="0"/>
      <w:sz w:val="20"/>
    </w:rPr>
  </w:style>
  <w:style w:type="paragraph" w:customStyle="1" w:styleId="238">
    <w:name w:val="UserStyle_146"/>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239">
    <w:name w:val="UserStyle_147"/>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40">
    <w:name w:val="UserStyle_148"/>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41">
    <w:name w:val="UserStyle_149"/>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42">
    <w:name w:val="UserStyle_150"/>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43">
    <w:name w:val="UserStyle_15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44">
    <w:name w:val="UserStyle_15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245">
    <w:name w:val="UserStyle_153"/>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table" w:customStyle="1" w:styleId="246">
    <w:name w:val="UserStyle_154"/>
    <w:basedOn w:val="44"/>
    <w:qFormat/>
    <w:uiPriority w:val="0"/>
  </w:style>
  <w:style w:type="character" w:customStyle="1" w:styleId="247">
    <w:name w:val="UserStyle_155"/>
    <w:qFormat/>
    <w:uiPriority w:val="0"/>
  </w:style>
  <w:style w:type="paragraph" w:customStyle="1" w:styleId="248">
    <w:name w:val="Null"/>
    <w:qFormat/>
    <w:uiPriority w:val="0"/>
    <w:pPr>
      <w:spacing w:line="360" w:lineRule="auto"/>
      <w:jc w:val="both"/>
      <w:textAlignment w:val="baseline"/>
    </w:pPr>
    <w:rPr>
      <w:rFonts w:ascii="Times New Roman" w:hAnsi="Times New Roman" w:eastAsia="楷体_GB2312" w:cs="Times New Roman"/>
      <w:kern w:val="2"/>
      <w:sz w:val="26"/>
      <w:lang w:val="en-US" w:eastAsia="zh-CN" w:bidi="ar-SA"/>
    </w:rPr>
  </w:style>
  <w:style w:type="paragraph" w:customStyle="1" w:styleId="249">
    <w:name w:val="UserStyle_156"/>
    <w:basedOn w:val="1"/>
    <w:qFormat/>
    <w:uiPriority w:val="0"/>
    <w:pPr>
      <w:ind w:firstLine="480" w:firstLineChars="200"/>
    </w:pPr>
    <w:rPr>
      <w:lang w:val="zh-CN"/>
    </w:rPr>
  </w:style>
  <w:style w:type="paragraph" w:customStyle="1" w:styleId="250">
    <w:name w:val="UserStyle_157"/>
    <w:basedOn w:val="1"/>
    <w:qFormat/>
    <w:uiPriority w:val="0"/>
    <w:pPr>
      <w:spacing w:before="100" w:beforeAutospacing="1" w:after="100" w:afterAutospacing="1"/>
    </w:pPr>
    <w:rPr>
      <w:rFonts w:ascii="宋体" w:hAnsi="宋体" w:eastAsia="仿宋_GB2312"/>
      <w:sz w:val="32"/>
    </w:rPr>
  </w:style>
  <w:style w:type="character" w:customStyle="1" w:styleId="251">
    <w:name w:val="UserStyle_158"/>
    <w:qFormat/>
    <w:uiPriority w:val="0"/>
  </w:style>
  <w:style w:type="paragraph" w:customStyle="1" w:styleId="252">
    <w:name w:val="列表段落1"/>
    <w:basedOn w:val="1"/>
    <w:qFormat/>
    <w:uiPriority w:val="0"/>
    <w:pPr>
      <w:ind w:firstLine="420" w:firstLineChars="200"/>
    </w:pPr>
    <w:rPr>
      <w:rFonts w:ascii="Calibri" w:hAnsi="Calibri"/>
    </w:rPr>
  </w:style>
  <w:style w:type="paragraph" w:customStyle="1" w:styleId="253">
    <w:name w:val="列出段落1"/>
    <w:basedOn w:val="1"/>
    <w:qFormat/>
    <w:uiPriority w:val="0"/>
    <w:pPr>
      <w:ind w:firstLine="420" w:firstLineChars="200"/>
    </w:pPr>
    <w:rPr>
      <w:rFonts w:ascii="Calibri" w:hAnsi="Calibri" w:eastAsia="宋体" w:cs="黑体"/>
      <w:sz w:val="21"/>
      <w:szCs w:val="22"/>
    </w:rPr>
  </w:style>
  <w:style w:type="paragraph" w:customStyle="1" w:styleId="254">
    <w:name w:val="Table Paragraph"/>
    <w:basedOn w:val="1"/>
    <w:qFormat/>
    <w:uiPriority w:val="1"/>
    <w:pPr>
      <w:spacing w:before="31"/>
      <w:ind w:left="107"/>
    </w:pPr>
    <w:rPr>
      <w:rFonts w:ascii="微软雅黑" w:hAnsi="微软雅黑" w:eastAsia="微软雅黑" w:cs="微软雅黑"/>
    </w:rPr>
  </w:style>
  <w:style w:type="character" w:customStyle="1" w:styleId="255">
    <w:name w:val="font31"/>
    <w:basedOn w:val="26"/>
    <w:qFormat/>
    <w:uiPriority w:val="0"/>
    <w:rPr>
      <w:rFonts w:hint="default" w:ascii="Segoe UI Symbol" w:hAnsi="Segoe UI Symbol" w:eastAsia="Segoe UI Symbol" w:cs="Segoe UI Symbol"/>
      <w:color w:val="000000"/>
      <w:sz w:val="20"/>
      <w:szCs w:val="20"/>
      <w:u w:val="none"/>
    </w:rPr>
  </w:style>
  <w:style w:type="character" w:customStyle="1" w:styleId="256">
    <w:name w:val="font21"/>
    <w:basedOn w:val="26"/>
    <w:qFormat/>
    <w:uiPriority w:val="0"/>
    <w:rPr>
      <w:rFonts w:hint="eastAsia" w:ascii="宋体" w:hAnsi="宋体" w:eastAsia="宋体" w:cs="宋体"/>
      <w:color w:val="000000"/>
      <w:sz w:val="20"/>
      <w:szCs w:val="20"/>
      <w:u w:val="none"/>
    </w:rPr>
  </w:style>
  <w:style w:type="paragraph" w:customStyle="1" w:styleId="257">
    <w:name w:val="正文 A"/>
    <w:qFormat/>
    <w:uiPriority w:val="0"/>
    <w:rPr>
      <w:rFonts w:ascii="Times New Roman" w:hAnsi="Times New Roman" w:eastAsia="Times New Roman" w:cs="Times New Roman"/>
      <w:color w:val="000000"/>
      <w:sz w:val="24"/>
      <w:szCs w:val="24"/>
      <w:u w:color="000000"/>
      <w:lang w:val="en-US" w:eastAsia="zh-CN" w:bidi="ar-SA"/>
      <w14:ligatures w14:val="standardContextual"/>
    </w:rPr>
  </w:style>
  <w:style w:type="character" w:customStyle="1" w:styleId="258">
    <w:name w:val="font11"/>
    <w:basedOn w:val="26"/>
    <w:qFormat/>
    <w:uiPriority w:val="0"/>
    <w:rPr>
      <w:rFonts w:hint="eastAsia" w:ascii="宋体" w:hAnsi="宋体" w:eastAsia="宋体" w:cs="宋体"/>
      <w:color w:val="000000"/>
      <w:sz w:val="21"/>
      <w:szCs w:val="21"/>
      <w:u w:val="none"/>
    </w:rPr>
  </w:style>
  <w:style w:type="paragraph" w:customStyle="1" w:styleId="259">
    <w:name w:val="Char1"/>
    <w:basedOn w:val="1"/>
    <w:qFormat/>
    <w:uiPriority w:val="0"/>
    <w:pPr>
      <w:tabs>
        <w:tab w:val="left" w:pos="840"/>
      </w:tabs>
      <w:ind w:left="840" w:hanging="420"/>
    </w:pPr>
  </w:style>
  <w:style w:type="paragraph" w:styleId="260">
    <w:name w:val="List Paragraph"/>
    <w:basedOn w:val="1"/>
    <w:qFormat/>
    <w:uiPriority w:val="34"/>
    <w:pPr>
      <w:ind w:firstLine="420" w:firstLineChars="200"/>
    </w:pPr>
  </w:style>
  <w:style w:type="paragraph" w:customStyle="1" w:styleId="261">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29</Pages>
  <Words>11390</Words>
  <Characters>11707</Characters>
  <Lines>327</Lines>
  <Paragraphs>92</Paragraphs>
  <TotalTime>24</TotalTime>
  <ScaleCrop>false</ScaleCrop>
  <LinksUpToDate>false</LinksUpToDate>
  <CharactersWithSpaces>11909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2025-05-12T08:08:00Z</dcterms:created>
  <dc:creator>正扬</dc:creator>
  <cp:lastModifiedBy>徐小卫</cp:lastModifiedBy>
  <dcterms:modified xsi:type="dcterms:W3CDTF">2025-11-11T07:11:53Z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69422B027147475BA15EAD22F159A324_13</vt:lpwstr>
  </property>
  <property fmtid="{D5CDD505-2E9C-101B-9397-08002B2CF9AE}" pid="4" name="KSOTemplateDocerSaveRecord">
    <vt:lpwstr>eyJoZGlkIjoiZWE5NDNjZTNiY2VlZjgyMzFmOWM2NTgyNjlhMWQ1NjEiLCJ1c2VySWQiOiIxNzEzODM5MzU3In0=</vt:lpwstr>
  </property>
</Properties>
</file>